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D3E18" w14:textId="1B0E1525" w:rsidR="004762B6" w:rsidRDefault="004762B6" w:rsidP="004762B6">
      <w:pPr>
        <w:pStyle w:val="Title"/>
        <w:rPr>
          <w:sz w:val="54"/>
          <w:szCs w:val="54"/>
        </w:rPr>
      </w:pPr>
      <w:bookmarkStart w:id="0" w:name="_Hlk61860849"/>
      <w:bookmarkEnd w:id="0"/>
      <w:r w:rsidRPr="000C30A0">
        <w:rPr>
          <w:sz w:val="54"/>
          <w:szCs w:val="54"/>
        </w:rPr>
        <w:t>Analysis of South Australian Gambling Data</w:t>
      </w:r>
    </w:p>
    <w:p w14:paraId="064DEBAF" w14:textId="32A0355E" w:rsidR="000C30A0" w:rsidRPr="00AF0BBF" w:rsidRDefault="000C30A0" w:rsidP="000C30A0">
      <w:pPr>
        <w:rPr>
          <w:rStyle w:val="SubtleEmphasis"/>
          <w:sz w:val="20"/>
          <w:szCs w:val="20"/>
        </w:rPr>
      </w:pPr>
      <w:r w:rsidRPr="00AF0BBF">
        <w:rPr>
          <w:rStyle w:val="SubtleEmphasis"/>
          <w:sz w:val="20"/>
          <w:szCs w:val="20"/>
        </w:rPr>
        <w:t>Summary of a report prepared by Professor Paul Delfabbro</w:t>
      </w:r>
      <w:r w:rsidR="00F906F7" w:rsidRPr="00AF0BBF">
        <w:rPr>
          <w:rStyle w:val="SubtleEmphasis"/>
          <w:sz w:val="20"/>
          <w:szCs w:val="20"/>
        </w:rPr>
        <w:t xml:space="preserve"> (University of Adelaide)</w:t>
      </w:r>
      <w:r w:rsidRPr="00AF0BBF">
        <w:rPr>
          <w:rStyle w:val="SubtleEmphasis"/>
          <w:sz w:val="20"/>
          <w:szCs w:val="20"/>
        </w:rPr>
        <w:t xml:space="preserve"> and Erica Wallace</w:t>
      </w:r>
      <w:r w:rsidR="00424E86" w:rsidRPr="00AF0BBF">
        <w:rPr>
          <w:rStyle w:val="SubtleEmphasis"/>
          <w:sz w:val="20"/>
          <w:szCs w:val="20"/>
        </w:rPr>
        <w:t xml:space="preserve"> </w:t>
      </w:r>
      <w:r w:rsidR="00704B21" w:rsidRPr="00AF0BBF">
        <w:rPr>
          <w:rStyle w:val="SubtleEmphasis"/>
          <w:sz w:val="20"/>
          <w:szCs w:val="20"/>
        </w:rPr>
        <w:t xml:space="preserve">(Attorney-General’s Department) </w:t>
      </w:r>
      <w:r w:rsidR="00424E86" w:rsidRPr="00AF0BBF">
        <w:rPr>
          <w:rStyle w:val="SubtleEmphasis"/>
          <w:sz w:val="20"/>
          <w:szCs w:val="20"/>
        </w:rPr>
        <w:t>for the Office for Problem Gambling, Department of Human Services</w:t>
      </w:r>
    </w:p>
    <w:p w14:paraId="578F3727" w14:textId="355E4AE6" w:rsidR="00424E86" w:rsidRDefault="00424E86" w:rsidP="002332A5">
      <w:pPr>
        <w:pStyle w:val="Heading1"/>
      </w:pPr>
      <w:r>
        <w:t>Background</w:t>
      </w:r>
    </w:p>
    <w:p w14:paraId="7D6C2B86" w14:textId="689292BA" w:rsidR="00424E86" w:rsidRPr="00424E86" w:rsidRDefault="00424E86" w:rsidP="00424E86">
      <w:r>
        <w:rPr>
          <w:rFonts w:cs="Arial"/>
          <w:bCs/>
        </w:rPr>
        <w:t xml:space="preserve">The Office for Problem Gambling within the Department of Human Services asked the University of Adelaide to explore whether the characteristics of people gambling at risky levels in the community </w:t>
      </w:r>
      <w:r w:rsidR="0087251F">
        <w:rPr>
          <w:rFonts w:cs="Arial"/>
          <w:bCs/>
        </w:rPr>
        <w:t>reflect</w:t>
      </w:r>
      <w:r>
        <w:rPr>
          <w:rFonts w:cs="Arial"/>
          <w:bCs/>
        </w:rPr>
        <w:t xml:space="preserve"> </w:t>
      </w:r>
      <w:r w:rsidR="002553CC">
        <w:rPr>
          <w:rFonts w:cs="Arial"/>
          <w:bCs/>
        </w:rPr>
        <w:t xml:space="preserve">the characteristics of </w:t>
      </w:r>
      <w:r>
        <w:rPr>
          <w:rFonts w:cs="Arial"/>
          <w:bCs/>
        </w:rPr>
        <w:t xml:space="preserve">people accessing gambling help services. This work will help identify </w:t>
      </w:r>
      <w:r w:rsidR="006F6781">
        <w:rPr>
          <w:rFonts w:cs="Arial"/>
          <w:bCs/>
        </w:rPr>
        <w:t xml:space="preserve">at-risk populations and </w:t>
      </w:r>
      <w:r>
        <w:rPr>
          <w:rFonts w:cs="Arial"/>
          <w:bCs/>
        </w:rPr>
        <w:t>possible gaps in service delivery.</w:t>
      </w:r>
    </w:p>
    <w:p w14:paraId="10D85061" w14:textId="510568B8" w:rsidR="002332A5" w:rsidRDefault="002E5B1D" w:rsidP="002332A5">
      <w:pPr>
        <w:pStyle w:val="Heading1"/>
      </w:pPr>
      <w:r>
        <w:t>G</w:t>
      </w:r>
      <w:r w:rsidR="00935328">
        <w:t>ambling in South Australia</w:t>
      </w:r>
    </w:p>
    <w:p w14:paraId="7E13F47C" w14:textId="3E8AE710" w:rsidR="00C30130" w:rsidRDefault="00283997" w:rsidP="00935328">
      <w:pPr>
        <w:rPr>
          <w:b/>
          <w:bCs/>
          <w:i/>
          <w:iCs/>
        </w:rPr>
      </w:pPr>
      <w:r>
        <w:t>The</w:t>
      </w:r>
      <w:r w:rsidR="00CC1884">
        <w:t xml:space="preserve"> </w:t>
      </w:r>
      <w:r>
        <w:t>South Australian Gambling Prevalence Survey</w:t>
      </w:r>
      <w:r w:rsidR="00BD2801">
        <w:t xml:space="preserve"> 2018</w:t>
      </w:r>
      <w:r>
        <w:t xml:space="preserve"> (the</w:t>
      </w:r>
      <w:r w:rsidR="00813E4F">
        <w:t xml:space="preserve"> Prevalence</w:t>
      </w:r>
      <w:r>
        <w:t xml:space="preserve"> Survey) </w:t>
      </w:r>
      <w:r w:rsidR="00197CF7">
        <w:t>asked</w:t>
      </w:r>
      <w:r w:rsidR="00997178">
        <w:t xml:space="preserve"> 20,017 adult residents about their </w:t>
      </w:r>
      <w:r w:rsidR="00CC1884">
        <w:t>gambling habits</w:t>
      </w:r>
      <w:r w:rsidR="007A0A3B">
        <w:t>,</w:t>
      </w:r>
      <w:r w:rsidR="00431563">
        <w:t xml:space="preserve"> </w:t>
      </w:r>
      <w:r w:rsidR="00A83648">
        <w:t>gambling-related harm</w:t>
      </w:r>
      <w:r w:rsidR="001B663C">
        <w:t xml:space="preserve">, and </w:t>
      </w:r>
      <w:r w:rsidR="006571A0">
        <w:t xml:space="preserve">help-seeking </w:t>
      </w:r>
      <w:r w:rsidR="001B663C">
        <w:t>behaviour</w:t>
      </w:r>
      <w:r w:rsidR="006571A0">
        <w:t>.</w:t>
      </w:r>
      <w:r w:rsidR="00AC0613">
        <w:t xml:space="preserve"> </w:t>
      </w:r>
      <w:r w:rsidR="00BD0286">
        <w:t>It</w:t>
      </w:r>
      <w:r w:rsidR="00AC0613">
        <w:t xml:space="preserve"> revealed that just under two thirds of South Australian adults (65%) had participated in at least one form of gambling in the previous 12 months</w:t>
      </w:r>
      <w:r w:rsidR="00477CD9">
        <w:t xml:space="preserve">. </w:t>
      </w:r>
      <w:r w:rsidR="004409EA">
        <w:t>Around</w:t>
      </w:r>
      <w:r w:rsidR="00011C5A">
        <w:t xml:space="preserve"> </w:t>
      </w:r>
      <w:r w:rsidR="004409EA">
        <w:t>3</w:t>
      </w:r>
      <w:r w:rsidR="00B829E6">
        <w:t>% of South Australian adults</w:t>
      </w:r>
      <w:r w:rsidR="00A62DFD">
        <w:t>, or just under 40,000 people,</w:t>
      </w:r>
      <w:r w:rsidR="00B829E6">
        <w:t xml:space="preserve"> </w:t>
      </w:r>
      <w:r w:rsidR="00011C5A">
        <w:t>gamble</w:t>
      </w:r>
      <w:r w:rsidR="004F3D0D">
        <w:t>d</w:t>
      </w:r>
      <w:r w:rsidR="00011C5A">
        <w:t xml:space="preserve"> at risk</w:t>
      </w:r>
      <w:r w:rsidR="00940921">
        <w:t>y</w:t>
      </w:r>
      <w:r w:rsidR="00011C5A">
        <w:t xml:space="preserve"> levels</w:t>
      </w:r>
      <w:r w:rsidR="00B829E6">
        <w:t>.</w:t>
      </w:r>
      <w:r w:rsidR="00FA1F28">
        <w:rPr>
          <w:rStyle w:val="FootnoteReference"/>
        </w:rPr>
        <w:footnoteReference w:id="1"/>
      </w:r>
      <w:r w:rsidR="00C40AD3">
        <w:t xml:space="preserve"> </w:t>
      </w:r>
      <w:r w:rsidR="00486FD5">
        <w:t xml:space="preserve">Risky gambling behaviours include spending more than you can afford, losing track of time when gambling, feeling guilty about your gambling, and gambling </w:t>
      </w:r>
      <w:r w:rsidR="00E42D56">
        <w:t>to</w:t>
      </w:r>
      <w:r w:rsidR="00486FD5">
        <w:t xml:space="preserve"> win back money (i.e., chasing losses). </w:t>
      </w:r>
      <w:r w:rsidR="00C40AD3">
        <w:t>Engaging in risky gambling behaviour increases</w:t>
      </w:r>
      <w:r w:rsidR="003A6524">
        <w:t xml:space="preserve"> an individual’s </w:t>
      </w:r>
      <w:r w:rsidR="00C40AD3">
        <w:t>likelihood of experiencing gambling harm</w:t>
      </w:r>
      <w:r w:rsidR="0050194F">
        <w:t xml:space="preserve"> (Li</w:t>
      </w:r>
      <w:r w:rsidR="00AB47E1">
        <w:t xml:space="preserve"> et al., 2017).</w:t>
      </w:r>
      <w:r w:rsidR="00C40AD3">
        <w:t xml:space="preserve"> </w:t>
      </w:r>
    </w:p>
    <w:p w14:paraId="550ED74B" w14:textId="70BFD05D" w:rsidR="002E5B1D" w:rsidRDefault="00E41C76" w:rsidP="00935328">
      <w:r w:rsidRPr="00E41C76">
        <w:rPr>
          <w:b/>
          <w:bCs/>
          <w:i/>
          <w:iCs/>
        </w:rPr>
        <w:t xml:space="preserve">Gambling-related harm includes the adverse impacts from gambling on the health and wellbeing of individuals, </w:t>
      </w:r>
      <w:r w:rsidR="00E42D56" w:rsidRPr="00E41C76">
        <w:rPr>
          <w:b/>
          <w:bCs/>
          <w:i/>
          <w:iCs/>
        </w:rPr>
        <w:t>families,</w:t>
      </w:r>
      <w:r w:rsidRPr="00E41C76">
        <w:rPr>
          <w:b/>
          <w:bCs/>
          <w:i/>
          <w:iCs/>
        </w:rPr>
        <w:t xml:space="preserve"> and the community </w:t>
      </w:r>
      <w:r w:rsidR="002E5B1D">
        <w:t>(</w:t>
      </w:r>
      <w:r w:rsidRPr="00E41C76">
        <w:t xml:space="preserve">Wardle, Reith, Best, </w:t>
      </w:r>
      <w:r w:rsidR="00E42D56" w:rsidRPr="00E41C76">
        <w:t>McDaid</w:t>
      </w:r>
      <w:r w:rsidRPr="00E41C76">
        <w:t xml:space="preserve"> &amp; Platt</w:t>
      </w:r>
      <w:r>
        <w:t>,</w:t>
      </w:r>
      <w:r w:rsidRPr="00E41C76">
        <w:t xml:space="preserve"> 2018</w:t>
      </w:r>
      <w:r w:rsidR="002E5B1D">
        <w:t>).</w:t>
      </w:r>
    </w:p>
    <w:p w14:paraId="0EACEA99" w14:textId="19D6605B" w:rsidR="002E5B1D" w:rsidRDefault="00B110E0" w:rsidP="002E5B1D">
      <w:r>
        <w:rPr>
          <w:noProof/>
        </w:rPr>
        <mc:AlternateContent>
          <mc:Choice Requires="wpg">
            <w:drawing>
              <wp:anchor distT="0" distB="0" distL="114300" distR="114300" simplePos="0" relativeHeight="251659264" behindDoc="1" locked="0" layoutInCell="1" allowOverlap="1" wp14:anchorId="0E7AB23B" wp14:editId="1B9D3C6A">
                <wp:simplePos x="0" y="0"/>
                <wp:positionH relativeFrom="column">
                  <wp:posOffset>4463415</wp:posOffset>
                </wp:positionH>
                <wp:positionV relativeFrom="paragraph">
                  <wp:posOffset>816538</wp:posOffset>
                </wp:positionV>
                <wp:extent cx="1601470" cy="1519555"/>
                <wp:effectExtent l="57150" t="38100" r="55880" b="80645"/>
                <wp:wrapTight wrapText="bothSides">
                  <wp:wrapPolygon edited="0">
                    <wp:start x="8222" y="-542"/>
                    <wp:lineTo x="1285" y="-271"/>
                    <wp:lineTo x="1285" y="4062"/>
                    <wp:lineTo x="-771" y="4062"/>
                    <wp:lineTo x="-771" y="15435"/>
                    <wp:lineTo x="514" y="17060"/>
                    <wp:lineTo x="514" y="17601"/>
                    <wp:lineTo x="4882" y="21392"/>
                    <wp:lineTo x="7965" y="22476"/>
                    <wp:lineTo x="13618" y="22476"/>
                    <wp:lineTo x="16187" y="21392"/>
                    <wp:lineTo x="20812" y="17331"/>
                    <wp:lineTo x="20812" y="17060"/>
                    <wp:lineTo x="22097" y="12998"/>
                    <wp:lineTo x="22097" y="8394"/>
                    <wp:lineTo x="20041" y="4333"/>
                    <wp:lineTo x="20041" y="3249"/>
                    <wp:lineTo x="14646" y="-271"/>
                    <wp:lineTo x="13104" y="-542"/>
                    <wp:lineTo x="8222" y="-542"/>
                  </wp:wrapPolygon>
                </wp:wrapTight>
                <wp:docPr id="13" name="Group 13"/>
                <wp:cNvGraphicFramePr/>
                <a:graphic xmlns:a="http://schemas.openxmlformats.org/drawingml/2006/main">
                  <a:graphicData uri="http://schemas.microsoft.com/office/word/2010/wordprocessingGroup">
                    <wpg:wgp>
                      <wpg:cNvGrpSpPr/>
                      <wpg:grpSpPr>
                        <a:xfrm>
                          <a:off x="0" y="0"/>
                          <a:ext cx="1601470" cy="1519555"/>
                          <a:chOff x="-33895" y="0"/>
                          <a:chExt cx="1324751" cy="1332205"/>
                        </a:xfrm>
                      </wpg:grpSpPr>
                      <wps:wsp>
                        <wps:cNvPr id="14" name="Oval 14"/>
                        <wps:cNvSpPr/>
                        <wps:spPr>
                          <a:xfrm>
                            <a:off x="-33895" y="0"/>
                            <a:ext cx="1324750" cy="1332205"/>
                          </a:xfrm>
                          <a:prstGeom prst="ellipse">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7" y="260665"/>
                            <a:ext cx="1290863" cy="913831"/>
                          </a:xfrm>
                          <a:prstGeom prst="rect">
                            <a:avLst/>
                          </a:prstGeom>
                          <a:noFill/>
                          <a:ln w="6350">
                            <a:noFill/>
                          </a:ln>
                        </wps:spPr>
                        <wps:txbx>
                          <w:txbxContent>
                            <w:p w14:paraId="07C7C586" w14:textId="3796AB97" w:rsidR="00C40AD3" w:rsidRPr="002E5B1D" w:rsidRDefault="002E5B1D" w:rsidP="00C40AD3">
                              <w:pPr>
                                <w:jc w:val="center"/>
                                <w:rPr>
                                  <w:color w:val="FFFFFF" w:themeColor="background1"/>
                                </w:rPr>
                              </w:pPr>
                              <w:r w:rsidRPr="002E5B1D">
                                <w:rPr>
                                  <w:color w:val="FFFFFF" w:themeColor="background1"/>
                                </w:rPr>
                                <w:t>In 2018 t</w:t>
                              </w:r>
                              <w:r w:rsidR="00C40AD3" w:rsidRPr="002E5B1D">
                                <w:rPr>
                                  <w:color w:val="FFFFFF" w:themeColor="background1"/>
                                </w:rPr>
                                <w:t>he number of South Australians affected by</w:t>
                              </w:r>
                              <w:r w:rsidRPr="002E5B1D">
                                <w:rPr>
                                  <w:color w:val="FFFFFF" w:themeColor="background1"/>
                                </w:rPr>
                                <w:t xml:space="preserve"> </w:t>
                              </w:r>
                              <w:r w:rsidR="00C40AD3" w:rsidRPr="002E5B1D">
                                <w:rPr>
                                  <w:color w:val="FFFFFF" w:themeColor="background1"/>
                                </w:rPr>
                                <w:t>problem gambling would fill the Adelaide Oval</w:t>
                              </w:r>
                              <w:r w:rsidRPr="002E5B1D">
                                <w:rPr>
                                  <w:color w:val="FFFFFF" w:themeColor="background1"/>
                                </w:rPr>
                                <w:t>.</w:t>
                              </w:r>
                              <w:r w:rsidR="00C30130" w:rsidRPr="00C30130">
                                <w:rPr>
                                  <w:color w:val="FFFFFF" w:themeColor="background1"/>
                                  <w:vertAlign w:val="superscript"/>
                                </w:rPr>
                                <w:t>2</w:t>
                              </w:r>
                            </w:p>
                            <w:p w14:paraId="66804A81" w14:textId="090A3810" w:rsidR="00C40AD3" w:rsidRPr="00E35877" w:rsidRDefault="00C40AD3" w:rsidP="002E5B1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7AB23B" id="Group 13" o:spid="_x0000_s1026" style="position:absolute;margin-left:351.45pt;margin-top:64.3pt;width:126.1pt;height:119.65pt;z-index:-251657216;mso-width-relative:margin;mso-height-relative:margin" coordorigin="-338" coordsize="13247,1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">
                <v:oval id="Oval 14" o:spid="_x0000_s1027" style="position:absolute;left:-338;width:13246;height:13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" fillcolor="#65a0d7 [3032]" stroked="f">
                  <v:fill color2="#5898d4 [3176]" rotate="t" colors="0 #71a6db;.5 #559bdb;1 #438ac9" focus="100%" type="gradient">
                    <o:fill v:ext="view" type="gradientUnscaled"/>
                  </v:fill>
                  <v:shadow on="t" color="black" opacity="41287f" offset="0,1.5pt"/>
                </v:oval>
                <v:shapetype id="_x0000_t202" coordsize="21600,21600" o:spt="202" path="m,l,21600r21600,l21600,xe">
                  <v:stroke joinstyle="miter"/>
                  <v:path gradientshapeok="t" o:connecttype="rect"/>
                </v:shapetype>
                <v:shape id="Text Box 15" o:spid="_x0000_s1028" type="#_x0000_t202" style="position:absolute;top:2606;width:12908;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07C7C586" w14:textId="3796AB97" w:rsidR="00C40AD3" w:rsidRPr="002E5B1D" w:rsidRDefault="002E5B1D" w:rsidP="00C40AD3">
                        <w:pPr>
                          <w:jc w:val="center"/>
                          <w:rPr>
                            <w:color w:val="FFFFFF" w:themeColor="background1"/>
                          </w:rPr>
                        </w:pPr>
                        <w:r w:rsidRPr="002E5B1D">
                          <w:rPr>
                            <w:color w:val="FFFFFF" w:themeColor="background1"/>
                          </w:rPr>
                          <w:t>In 2018 t</w:t>
                        </w:r>
                        <w:r w:rsidR="00C40AD3" w:rsidRPr="002E5B1D">
                          <w:rPr>
                            <w:color w:val="FFFFFF" w:themeColor="background1"/>
                          </w:rPr>
                          <w:t>he number of South Australians affected by</w:t>
                        </w:r>
                        <w:r w:rsidRPr="002E5B1D">
                          <w:rPr>
                            <w:color w:val="FFFFFF" w:themeColor="background1"/>
                          </w:rPr>
                          <w:t xml:space="preserve"> </w:t>
                        </w:r>
                        <w:r w:rsidR="00C40AD3" w:rsidRPr="002E5B1D">
                          <w:rPr>
                            <w:color w:val="FFFFFF" w:themeColor="background1"/>
                          </w:rPr>
                          <w:t>problem gambling would fill the Adelaide Oval</w:t>
                        </w:r>
                        <w:r w:rsidRPr="002E5B1D">
                          <w:rPr>
                            <w:color w:val="FFFFFF" w:themeColor="background1"/>
                          </w:rPr>
                          <w:t>.</w:t>
                        </w:r>
                        <w:r w:rsidR="00C30130" w:rsidRPr="00C30130">
                          <w:rPr>
                            <w:color w:val="FFFFFF" w:themeColor="background1"/>
                            <w:vertAlign w:val="superscript"/>
                          </w:rPr>
                          <w:t>2</w:t>
                        </w:r>
                      </w:p>
                      <w:p w14:paraId="66804A81" w14:textId="090A3810" w:rsidR="00C40AD3" w:rsidRPr="00E35877" w:rsidRDefault="00C40AD3" w:rsidP="002E5B1D">
                        <w:pPr>
                          <w:rPr>
                            <w:sz w:val="16"/>
                            <w:szCs w:val="16"/>
                          </w:rPr>
                        </w:pPr>
                      </w:p>
                    </w:txbxContent>
                  </v:textbox>
                </v:shape>
                <w10:wrap type="tight"/>
              </v:group>
            </w:pict>
          </mc:Fallback>
        </mc:AlternateContent>
      </w:r>
      <w:r w:rsidR="002E5B1D">
        <w:t>The experience of gambling harm is different for everyone. Gambling can cause financial harm, damage to relationships, declines in psychological and emotional well-being and physical health, limit work and study opportunities,</w:t>
      </w:r>
      <w:r w:rsidR="005352BB">
        <w:t xml:space="preserve"> </w:t>
      </w:r>
      <w:r w:rsidR="002E5B1D">
        <w:t>result in</w:t>
      </w:r>
      <w:r w:rsidR="005352BB">
        <w:t xml:space="preserve"> the</w:t>
      </w:r>
      <w:r w:rsidR="002E5B1D">
        <w:t xml:space="preserve"> neglect of cultural responsibilities, and, in some cases, lead to criminal activity (Langham et al., 2016). Some harms are short-lived while others can continue after an individual stop</w:t>
      </w:r>
      <w:r w:rsidR="00AF0BBF">
        <w:t>s</w:t>
      </w:r>
      <w:r w:rsidR="002E5B1D">
        <w:t xml:space="preserve"> gambling.</w:t>
      </w:r>
    </w:p>
    <w:p w14:paraId="4276DFDB" w14:textId="3DE167FD" w:rsidR="002E5B1D" w:rsidRDefault="002E5B1D" w:rsidP="00935328">
      <w:r>
        <w:t xml:space="preserve">Gambling harm is not limited to the individual gambler. </w:t>
      </w:r>
      <w:r w:rsidR="003D1AD8">
        <w:t xml:space="preserve">Researchers estimate that </w:t>
      </w:r>
      <w:r w:rsidR="00CE074F">
        <w:t>for every individual engag</w:t>
      </w:r>
      <w:r w:rsidR="006F54D8">
        <w:t>ed</w:t>
      </w:r>
      <w:r w:rsidR="00CE074F">
        <w:t xml:space="preserve"> in </w:t>
      </w:r>
      <w:r w:rsidR="007E0B1C">
        <w:t xml:space="preserve">problem gambling </w:t>
      </w:r>
      <w:r w:rsidR="00D87180">
        <w:t xml:space="preserve">behaviour </w:t>
      </w:r>
      <w:r w:rsidR="00CE074F">
        <w:t xml:space="preserve">at least </w:t>
      </w:r>
      <w:r w:rsidR="007E0B1C">
        <w:t>six</w:t>
      </w:r>
      <w:r>
        <w:t xml:space="preserve"> others</w:t>
      </w:r>
      <w:r w:rsidR="00CE074F">
        <w:t xml:space="preserve"> are affected</w:t>
      </w:r>
      <w:r w:rsidR="007E0B1C">
        <w:t xml:space="preserve">, moderate risk gambling affects three others, and low risk gambling affects </w:t>
      </w:r>
      <w:r w:rsidR="00CE074F">
        <w:t xml:space="preserve">at least </w:t>
      </w:r>
      <w:r w:rsidR="007E0B1C">
        <w:t>one other person</w:t>
      </w:r>
      <w:r w:rsidR="002E6B90">
        <w:t xml:space="preserve"> (Goodwin et al., 2017)</w:t>
      </w:r>
      <w:r w:rsidR="007E0B1C">
        <w:t>.</w:t>
      </w:r>
      <w:r w:rsidR="00C30130" w:rsidRPr="001225CA">
        <w:rPr>
          <w:rStyle w:val="FootnoteReference"/>
          <w:color w:val="FFFFFF" w:themeColor="background1"/>
        </w:rPr>
        <w:footnoteReference w:id="2"/>
      </w:r>
    </w:p>
    <w:p w14:paraId="7B2AA273" w14:textId="7E6E8386" w:rsidR="0001148E" w:rsidRDefault="003C25A6" w:rsidP="00935328">
      <w:r>
        <w:t xml:space="preserve">Gambling harm </w:t>
      </w:r>
      <w:r w:rsidR="00E25ADA">
        <w:t xml:space="preserve">also </w:t>
      </w:r>
      <w:r w:rsidR="000E5970">
        <w:t>impacts</w:t>
      </w:r>
      <w:r>
        <w:t xml:space="preserve"> the wider community</w:t>
      </w:r>
      <w:r w:rsidR="003717C0">
        <w:t>. This is</w:t>
      </w:r>
      <w:r w:rsidR="00E25ADA">
        <w:t xml:space="preserve"> principally </w:t>
      </w:r>
      <w:r w:rsidR="000E2364">
        <w:t>through</w:t>
      </w:r>
      <w:r w:rsidR="002D2013">
        <w:t xml:space="preserve"> </w:t>
      </w:r>
      <w:r w:rsidR="003717C0">
        <w:t xml:space="preserve">demand </w:t>
      </w:r>
      <w:r w:rsidR="002D2013">
        <w:t xml:space="preserve">for </w:t>
      </w:r>
      <w:r w:rsidR="003717C0">
        <w:t xml:space="preserve">system </w:t>
      </w:r>
      <w:r w:rsidR="00E25ADA">
        <w:t>resources</w:t>
      </w:r>
      <w:r>
        <w:t xml:space="preserve">. </w:t>
      </w:r>
      <w:r w:rsidR="00756B32">
        <w:t>Costs associated with gambling harm include financial</w:t>
      </w:r>
      <w:r w:rsidR="008B0C2F">
        <w:t xml:space="preserve"> costs</w:t>
      </w:r>
      <w:r w:rsidR="00B37710">
        <w:t>,</w:t>
      </w:r>
      <w:r w:rsidR="00756B32">
        <w:t xml:space="preserve"> productiv</w:t>
      </w:r>
      <w:r w:rsidR="00B37710">
        <w:t xml:space="preserve">ity </w:t>
      </w:r>
      <w:r w:rsidR="00756B32">
        <w:t>and employment</w:t>
      </w:r>
      <w:r w:rsidR="008B0C2F">
        <w:t xml:space="preserve"> costs</w:t>
      </w:r>
      <w:r w:rsidR="00756B32">
        <w:t>, legal</w:t>
      </w:r>
      <w:r w:rsidR="008B0C2F">
        <w:t xml:space="preserve"> costs</w:t>
      </w:r>
      <w:r w:rsidR="00756B32">
        <w:t>, personal and family</w:t>
      </w:r>
      <w:r w:rsidR="008B0C2F">
        <w:t xml:space="preserve"> costs</w:t>
      </w:r>
      <w:r w:rsidR="00756B32">
        <w:t>, and treatment costs</w:t>
      </w:r>
      <w:r w:rsidR="00085D3C">
        <w:t xml:space="preserve"> (Browne et al., 2017)</w:t>
      </w:r>
      <w:r w:rsidR="00756B32">
        <w:t>.</w:t>
      </w:r>
      <w:r w:rsidR="00E00160">
        <w:t xml:space="preserve"> Browne and colleagues (2017) estimated </w:t>
      </w:r>
      <w:r w:rsidR="00B37710">
        <w:t xml:space="preserve">that </w:t>
      </w:r>
      <w:r w:rsidR="00E00160">
        <w:t>the cost</w:t>
      </w:r>
      <w:r w:rsidR="008B0C2F">
        <w:t xml:space="preserve"> to the commun</w:t>
      </w:r>
      <w:r w:rsidR="0048064E">
        <w:t>i</w:t>
      </w:r>
      <w:r w:rsidR="008B0C2F">
        <w:t>ty</w:t>
      </w:r>
      <w:r w:rsidR="00E82755">
        <w:t xml:space="preserve"> of risky gambling in</w:t>
      </w:r>
      <w:r w:rsidR="004D6FE0">
        <w:t xml:space="preserve"> Victoria in</w:t>
      </w:r>
      <w:r w:rsidR="00E82755">
        <w:t xml:space="preserve"> 2014</w:t>
      </w:r>
      <w:r w:rsidR="00061B3E">
        <w:t>-</w:t>
      </w:r>
      <w:r w:rsidR="00E82755">
        <w:t xml:space="preserve">15 </w:t>
      </w:r>
      <w:r w:rsidR="00B37710">
        <w:t>was</w:t>
      </w:r>
      <w:r w:rsidR="00E82755">
        <w:t xml:space="preserve"> $4.3 billion</w:t>
      </w:r>
      <w:r w:rsidR="007418AF">
        <w:t>.</w:t>
      </w:r>
    </w:p>
    <w:p w14:paraId="200F529F" w14:textId="31AA8725" w:rsidR="002332A5" w:rsidRDefault="00C73A8D" w:rsidP="002332A5">
      <w:pPr>
        <w:pStyle w:val="Heading1"/>
      </w:pPr>
      <w:r>
        <w:lastRenderedPageBreak/>
        <w:t xml:space="preserve">South Australian </w:t>
      </w:r>
      <w:r w:rsidR="002332A5">
        <w:t>Gambling Help Service System</w:t>
      </w:r>
    </w:p>
    <w:p w14:paraId="6CAA92A7" w14:textId="2CC1AD8F" w:rsidR="00784966" w:rsidRDefault="002332A5" w:rsidP="00405DBB">
      <w:pPr>
        <w:rPr>
          <w:rFonts w:cs="Arial"/>
          <w:bCs/>
        </w:rPr>
      </w:pPr>
      <w:r>
        <w:rPr>
          <w:rFonts w:cs="Arial"/>
          <w:bCs/>
        </w:rPr>
        <w:t>The Gamblers Rehabilitation Fund</w:t>
      </w:r>
      <w:r w:rsidR="0033556E">
        <w:rPr>
          <w:rFonts w:cs="Arial"/>
          <w:bCs/>
        </w:rPr>
        <w:t xml:space="preserve"> </w:t>
      </w:r>
      <w:r w:rsidR="00C73A8D">
        <w:rPr>
          <w:rFonts w:cs="Arial"/>
          <w:bCs/>
        </w:rPr>
        <w:t>establ</w:t>
      </w:r>
      <w:r w:rsidR="0033556E">
        <w:rPr>
          <w:rFonts w:cs="Arial"/>
          <w:bCs/>
        </w:rPr>
        <w:t>ished</w:t>
      </w:r>
      <w:r w:rsidR="009D2CD5" w:rsidRPr="009D2CD5">
        <w:t xml:space="preserve"> </w:t>
      </w:r>
      <w:r w:rsidR="009D2CD5">
        <w:t xml:space="preserve">in 1994 </w:t>
      </w:r>
      <w:r w:rsidR="009D2CD5" w:rsidRPr="009D2CD5">
        <w:rPr>
          <w:rFonts w:cs="Arial"/>
          <w:bCs/>
        </w:rPr>
        <w:t xml:space="preserve">under the </w:t>
      </w:r>
      <w:r w:rsidR="009D2CD5" w:rsidRPr="009D2CD5">
        <w:rPr>
          <w:rFonts w:cs="Arial"/>
          <w:bCs/>
          <w:i/>
          <w:iCs/>
        </w:rPr>
        <w:t>Gaming Machines Act</w:t>
      </w:r>
      <w:r w:rsidR="009D2CD5" w:rsidRPr="009D2CD5">
        <w:rPr>
          <w:rFonts w:cs="Arial"/>
          <w:bCs/>
        </w:rPr>
        <w:t xml:space="preserve"> 1992 </w:t>
      </w:r>
      <w:r w:rsidR="000E14EA">
        <w:rPr>
          <w:rFonts w:cs="Arial"/>
          <w:bCs/>
        </w:rPr>
        <w:t>invest</w:t>
      </w:r>
      <w:r w:rsidR="00C73A8D">
        <w:rPr>
          <w:rFonts w:cs="Arial"/>
          <w:bCs/>
        </w:rPr>
        <w:t>s</w:t>
      </w:r>
      <w:r w:rsidR="000E14EA">
        <w:rPr>
          <w:rFonts w:cs="Arial"/>
          <w:bCs/>
        </w:rPr>
        <w:t xml:space="preserve"> in </w:t>
      </w:r>
      <w:r w:rsidR="009D2CD5" w:rsidRPr="009D2CD5">
        <w:rPr>
          <w:rFonts w:cs="Arial"/>
          <w:bCs/>
        </w:rPr>
        <w:t>programs</w:t>
      </w:r>
      <w:r w:rsidR="000E14EA">
        <w:rPr>
          <w:rFonts w:cs="Arial"/>
          <w:bCs/>
        </w:rPr>
        <w:t xml:space="preserve"> and initiatives intended</w:t>
      </w:r>
      <w:r w:rsidR="009D2CD5" w:rsidRPr="009D2CD5">
        <w:rPr>
          <w:rFonts w:cs="Arial"/>
          <w:bCs/>
        </w:rPr>
        <w:t xml:space="preserve"> to minimise the harm caused by gambling.</w:t>
      </w:r>
      <w:r w:rsidR="00684FEA">
        <w:rPr>
          <w:rFonts w:cs="Arial"/>
          <w:bCs/>
        </w:rPr>
        <w:t xml:space="preserve"> This includes community education campaigns, </w:t>
      </w:r>
      <w:r>
        <w:rPr>
          <w:rFonts w:cs="Arial"/>
          <w:bCs/>
        </w:rPr>
        <w:t>gambling help services</w:t>
      </w:r>
      <w:r w:rsidR="005D0D02">
        <w:rPr>
          <w:rFonts w:cs="Arial"/>
          <w:bCs/>
        </w:rPr>
        <w:t xml:space="preserve"> (including the Gambling Helpline and Gambling Help Online)</w:t>
      </w:r>
      <w:r w:rsidR="00784966">
        <w:rPr>
          <w:rFonts w:cs="Arial"/>
          <w:bCs/>
        </w:rPr>
        <w:t xml:space="preserve">, and </w:t>
      </w:r>
      <w:r w:rsidR="008E5C2D">
        <w:rPr>
          <w:rFonts w:cs="Arial"/>
          <w:bCs/>
        </w:rPr>
        <w:t>programs targeted towards</w:t>
      </w:r>
      <w:r w:rsidR="00A04CF3">
        <w:rPr>
          <w:rFonts w:cs="Arial"/>
          <w:bCs/>
        </w:rPr>
        <w:t xml:space="preserve"> those groups known to be at </w:t>
      </w:r>
      <w:r w:rsidR="0031528C">
        <w:rPr>
          <w:rFonts w:cs="Arial"/>
          <w:bCs/>
        </w:rPr>
        <w:t>increased</w:t>
      </w:r>
      <w:r w:rsidR="00A04CF3">
        <w:rPr>
          <w:rFonts w:cs="Arial"/>
          <w:bCs/>
        </w:rPr>
        <w:t xml:space="preserve"> risk of </w:t>
      </w:r>
      <w:r w:rsidR="0031528C">
        <w:rPr>
          <w:rFonts w:cs="Arial"/>
          <w:bCs/>
        </w:rPr>
        <w:t>gambling harm.</w:t>
      </w:r>
    </w:p>
    <w:p w14:paraId="12AEFB81" w14:textId="0FEA295F" w:rsidR="002332A5" w:rsidRDefault="00EA732F" w:rsidP="00405DBB">
      <w:pPr>
        <w:rPr>
          <w:rFonts w:cs="Arial"/>
          <w:bCs/>
        </w:rPr>
      </w:pPr>
      <w:r w:rsidRPr="00EA732F">
        <w:rPr>
          <w:rFonts w:cs="Arial"/>
          <w:bCs/>
        </w:rPr>
        <w:t xml:space="preserve">Gambling Help Services provide free and confidential therapy, counselling, </w:t>
      </w:r>
      <w:r w:rsidR="00E42D56" w:rsidRPr="00EA732F">
        <w:rPr>
          <w:rFonts w:cs="Arial"/>
          <w:bCs/>
        </w:rPr>
        <w:t>assistance,</w:t>
      </w:r>
      <w:r w:rsidRPr="00EA732F">
        <w:rPr>
          <w:rFonts w:cs="Arial"/>
          <w:bCs/>
        </w:rPr>
        <w:t xml:space="preserve"> and support </w:t>
      </w:r>
      <w:r w:rsidR="008E78E5">
        <w:rPr>
          <w:rFonts w:cs="Arial"/>
          <w:bCs/>
        </w:rPr>
        <w:t xml:space="preserve">to </w:t>
      </w:r>
      <w:r w:rsidRPr="00EA732F">
        <w:rPr>
          <w:rFonts w:cs="Arial"/>
          <w:bCs/>
        </w:rPr>
        <w:t>those affected by gambling, including family and friends</w:t>
      </w:r>
      <w:r w:rsidR="002332A5">
        <w:rPr>
          <w:rFonts w:cs="Arial"/>
          <w:bCs/>
        </w:rPr>
        <w:t>.</w:t>
      </w:r>
      <w:r w:rsidR="00B829E6">
        <w:rPr>
          <w:rStyle w:val="FootnoteReference"/>
          <w:rFonts w:cs="Arial"/>
          <w:bCs/>
        </w:rPr>
        <w:footnoteReference w:id="3"/>
      </w:r>
      <w:r w:rsidR="00467C0F">
        <w:rPr>
          <w:rFonts w:cs="Arial"/>
          <w:bCs/>
        </w:rPr>
        <w:t xml:space="preserve"> </w:t>
      </w:r>
      <w:r w:rsidR="00CB54D7">
        <w:rPr>
          <w:rFonts w:cs="Arial"/>
          <w:bCs/>
        </w:rPr>
        <w:t xml:space="preserve">Gambling Help </w:t>
      </w:r>
      <w:r w:rsidR="00467C0F">
        <w:rPr>
          <w:rFonts w:cs="Arial"/>
          <w:bCs/>
        </w:rPr>
        <w:t>Services are available</w:t>
      </w:r>
      <w:r w:rsidR="009656E8">
        <w:rPr>
          <w:rFonts w:cs="Arial"/>
          <w:bCs/>
        </w:rPr>
        <w:t xml:space="preserve"> across </w:t>
      </w:r>
      <w:r w:rsidR="004D328C">
        <w:rPr>
          <w:rFonts w:cs="Arial"/>
          <w:bCs/>
        </w:rPr>
        <w:t>South Australia</w:t>
      </w:r>
      <w:r w:rsidR="00AD7305">
        <w:rPr>
          <w:rFonts w:cs="Arial"/>
          <w:bCs/>
        </w:rPr>
        <w:t xml:space="preserve"> and in the form of face-to-face, telephone and online</w:t>
      </w:r>
      <w:r w:rsidR="008A70A6">
        <w:rPr>
          <w:rFonts w:cs="Arial"/>
          <w:bCs/>
        </w:rPr>
        <w:t xml:space="preserve"> support</w:t>
      </w:r>
      <w:r w:rsidR="004D328C">
        <w:rPr>
          <w:rFonts w:cs="Arial"/>
          <w:bCs/>
        </w:rPr>
        <w:t>.</w:t>
      </w:r>
    </w:p>
    <w:p w14:paraId="2DBFA861" w14:textId="4916AA0F" w:rsidR="0082129C" w:rsidRDefault="005C7DF4" w:rsidP="007C2B55">
      <w:pPr>
        <w:pStyle w:val="Heading1"/>
      </w:pPr>
      <w:r>
        <w:t>Service need</w:t>
      </w:r>
      <w:r w:rsidR="002B0FCA">
        <w:t>,</w:t>
      </w:r>
      <w:r w:rsidR="00302532">
        <w:t xml:space="preserve"> </w:t>
      </w:r>
      <w:r w:rsidR="00E42D56">
        <w:t>utilisation,</w:t>
      </w:r>
      <w:r w:rsidR="002B0FCA">
        <w:t xml:space="preserve"> and gaps</w:t>
      </w:r>
    </w:p>
    <w:p w14:paraId="6E4798F4" w14:textId="78667D66" w:rsidR="00217905" w:rsidRDefault="00244573" w:rsidP="00C02CF7">
      <w:r>
        <w:t xml:space="preserve">The Office for Problem Gambling </w:t>
      </w:r>
      <w:r w:rsidR="008D25AC">
        <w:t xml:space="preserve">within the Department of Human Services </w:t>
      </w:r>
      <w:r>
        <w:t xml:space="preserve">invited the University of Adelaide to compare the characteristics of </w:t>
      </w:r>
      <w:r w:rsidR="008D25AC">
        <w:t xml:space="preserve">people identified in the community as engaging in </w:t>
      </w:r>
      <w:r w:rsidR="00EE1A35">
        <w:t xml:space="preserve">risky gambling behaviour </w:t>
      </w:r>
      <w:r w:rsidR="0037724D">
        <w:t>with</w:t>
      </w:r>
      <w:r w:rsidR="00EE1A35">
        <w:t xml:space="preserve"> the characteristics of people accessing</w:t>
      </w:r>
      <w:r w:rsidR="008700AE">
        <w:t xml:space="preserve"> </w:t>
      </w:r>
      <w:r w:rsidR="00EE1A35">
        <w:t xml:space="preserve">Gambling Help Services. </w:t>
      </w:r>
      <w:r w:rsidR="00D84000">
        <w:t xml:space="preserve">To undertake this analysis, the University of Adelaide </w:t>
      </w:r>
      <w:r w:rsidR="002B45B3">
        <w:t>compared</w:t>
      </w:r>
      <w:r w:rsidR="00217905">
        <w:t xml:space="preserve"> three separate data</w:t>
      </w:r>
      <w:r w:rsidR="002B45B3">
        <w:t xml:space="preserve"> sources</w:t>
      </w:r>
      <w:r w:rsidR="00217905">
        <w:t>:</w:t>
      </w:r>
    </w:p>
    <w:p w14:paraId="36675181" w14:textId="22CE8706" w:rsidR="00217905" w:rsidRDefault="00CD797D" w:rsidP="00217905">
      <w:pPr>
        <w:pStyle w:val="ListParagraph"/>
        <w:numPr>
          <w:ilvl w:val="0"/>
          <w:numId w:val="3"/>
        </w:numPr>
      </w:pPr>
      <w:r>
        <w:t xml:space="preserve">de-identified, first assessment data from </w:t>
      </w:r>
      <w:r w:rsidR="00260042">
        <w:t>gamblers who sought formal help from a funded face to face gambling help service in 2018-19</w:t>
      </w:r>
      <w:r w:rsidR="00217905">
        <w:t>;</w:t>
      </w:r>
    </w:p>
    <w:p w14:paraId="3ACBB2D3" w14:textId="73F7B194" w:rsidR="00217905" w:rsidRDefault="00217905" w:rsidP="00217905">
      <w:pPr>
        <w:pStyle w:val="ListParagraph"/>
        <w:numPr>
          <w:ilvl w:val="0"/>
          <w:numId w:val="3"/>
        </w:numPr>
      </w:pPr>
      <w:r>
        <w:t>t</w:t>
      </w:r>
      <w:r w:rsidR="002B2E53">
        <w:t>he 2018</w:t>
      </w:r>
      <w:r w:rsidR="0016101E">
        <w:t xml:space="preserve"> South Australian </w:t>
      </w:r>
      <w:r w:rsidR="00114F37">
        <w:t>gambling</w:t>
      </w:r>
      <w:r w:rsidR="0016101E">
        <w:t xml:space="preserve"> prevalence </w:t>
      </w:r>
      <w:r w:rsidR="00114F37">
        <w:t>survey</w:t>
      </w:r>
      <w:r w:rsidR="008B4D0A">
        <w:t xml:space="preserve"> </w:t>
      </w:r>
      <w:r w:rsidR="00A0628D">
        <w:t xml:space="preserve">– a telephone survey of </w:t>
      </w:r>
      <w:r w:rsidR="00440BEA">
        <w:t>a</w:t>
      </w:r>
      <w:r w:rsidR="008B4D0A">
        <w:t xml:space="preserve"> </w:t>
      </w:r>
      <w:r w:rsidR="00A0628D">
        <w:t>large (n = 20,017), representative sample o</w:t>
      </w:r>
      <w:r w:rsidR="00440BEA">
        <w:t>f South Australian residents</w:t>
      </w:r>
      <w:r>
        <w:t>;</w:t>
      </w:r>
      <w:r w:rsidR="00C640B7">
        <w:t xml:space="preserve"> and </w:t>
      </w:r>
    </w:p>
    <w:p w14:paraId="0F79467E" w14:textId="5B139310" w:rsidR="00C02CF7" w:rsidRPr="00C02CF7" w:rsidRDefault="002D2F0C" w:rsidP="00217905">
      <w:pPr>
        <w:pStyle w:val="ListParagraph"/>
        <w:numPr>
          <w:ilvl w:val="0"/>
          <w:numId w:val="3"/>
        </w:numPr>
      </w:pPr>
      <w:r>
        <w:t xml:space="preserve">de-identified </w:t>
      </w:r>
      <w:r w:rsidR="00C640B7">
        <w:t xml:space="preserve">demographic data compiled by Consumer Business Services within the </w:t>
      </w:r>
      <w:r>
        <w:t xml:space="preserve">Attorney-General’s Department for </w:t>
      </w:r>
      <w:r w:rsidR="00217905">
        <w:t>gamblers who had sough</w:t>
      </w:r>
      <w:r w:rsidR="00970CC6">
        <w:t>t</w:t>
      </w:r>
      <w:r w:rsidR="00217905">
        <w:t xml:space="preserve"> voluntary barring orders in 2018-19.</w:t>
      </w:r>
    </w:p>
    <w:p w14:paraId="462DC174" w14:textId="17134386" w:rsidR="00FC15FF" w:rsidRDefault="00444677" w:rsidP="00444677">
      <w:pPr>
        <w:pStyle w:val="Heading2"/>
      </w:pPr>
      <w:r>
        <w:t xml:space="preserve">Who is </w:t>
      </w:r>
      <w:r w:rsidR="004F034F">
        <w:t>most likely to gamble at risky levels</w:t>
      </w:r>
      <w:r w:rsidR="003E5911">
        <w:t xml:space="preserve"> in the community</w:t>
      </w:r>
      <w:r w:rsidR="004F034F">
        <w:t>?</w:t>
      </w:r>
    </w:p>
    <w:p w14:paraId="06A12FA7" w14:textId="074FDEE3" w:rsidR="00D6411B" w:rsidRDefault="006B51A8" w:rsidP="00D6411B">
      <w:r>
        <w:rPr>
          <w:noProof/>
        </w:rPr>
        <mc:AlternateContent>
          <mc:Choice Requires="wpg">
            <w:drawing>
              <wp:anchor distT="0" distB="0" distL="114300" distR="114300" simplePos="0" relativeHeight="251663360" behindDoc="1" locked="0" layoutInCell="1" allowOverlap="1" wp14:anchorId="41165EE1" wp14:editId="527B82D7">
                <wp:simplePos x="0" y="0"/>
                <wp:positionH relativeFrom="column">
                  <wp:posOffset>4071356</wp:posOffset>
                </wp:positionH>
                <wp:positionV relativeFrom="paragraph">
                  <wp:posOffset>457835</wp:posOffset>
                </wp:positionV>
                <wp:extent cx="1601470" cy="1519555"/>
                <wp:effectExtent l="57150" t="38100" r="55880" b="80645"/>
                <wp:wrapTight wrapText="bothSides">
                  <wp:wrapPolygon edited="0">
                    <wp:start x="8222" y="-542"/>
                    <wp:lineTo x="1285" y="-271"/>
                    <wp:lineTo x="1285" y="4062"/>
                    <wp:lineTo x="-771" y="4062"/>
                    <wp:lineTo x="-771" y="15435"/>
                    <wp:lineTo x="514" y="17060"/>
                    <wp:lineTo x="514" y="17601"/>
                    <wp:lineTo x="4882" y="21392"/>
                    <wp:lineTo x="7965" y="22476"/>
                    <wp:lineTo x="13618" y="22476"/>
                    <wp:lineTo x="16187" y="21392"/>
                    <wp:lineTo x="20812" y="17331"/>
                    <wp:lineTo x="20812" y="17060"/>
                    <wp:lineTo x="22097" y="12998"/>
                    <wp:lineTo x="22097" y="8394"/>
                    <wp:lineTo x="20041" y="4333"/>
                    <wp:lineTo x="20041" y="3249"/>
                    <wp:lineTo x="14646" y="-271"/>
                    <wp:lineTo x="13104" y="-542"/>
                    <wp:lineTo x="8222" y="-542"/>
                  </wp:wrapPolygon>
                </wp:wrapTight>
                <wp:docPr id="6" name="Group 6"/>
                <wp:cNvGraphicFramePr/>
                <a:graphic xmlns:a="http://schemas.openxmlformats.org/drawingml/2006/main">
                  <a:graphicData uri="http://schemas.microsoft.com/office/word/2010/wordprocessingGroup">
                    <wpg:wgp>
                      <wpg:cNvGrpSpPr/>
                      <wpg:grpSpPr>
                        <a:xfrm>
                          <a:off x="0" y="0"/>
                          <a:ext cx="1601470" cy="1519555"/>
                          <a:chOff x="-33895" y="0"/>
                          <a:chExt cx="1324751" cy="1332205"/>
                        </a:xfrm>
                      </wpg:grpSpPr>
                      <wps:wsp>
                        <wps:cNvPr id="7" name="Oval 7"/>
                        <wps:cNvSpPr/>
                        <wps:spPr>
                          <a:xfrm>
                            <a:off x="-33895" y="0"/>
                            <a:ext cx="1324750" cy="1332205"/>
                          </a:xfrm>
                          <a:prstGeom prst="ellipse">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7" y="260665"/>
                            <a:ext cx="1290863" cy="913831"/>
                          </a:xfrm>
                          <a:prstGeom prst="rect">
                            <a:avLst/>
                          </a:prstGeom>
                          <a:noFill/>
                          <a:ln w="6350">
                            <a:noFill/>
                          </a:ln>
                        </wps:spPr>
                        <wps:txbx>
                          <w:txbxContent>
                            <w:p w14:paraId="0675A9D6" w14:textId="794D5BE9" w:rsidR="006B51A8" w:rsidRPr="002E5B1D" w:rsidRDefault="0031349E" w:rsidP="006B51A8">
                              <w:pPr>
                                <w:jc w:val="center"/>
                                <w:rPr>
                                  <w:color w:val="FFFFFF" w:themeColor="background1"/>
                                </w:rPr>
                              </w:pPr>
                              <w:r>
                                <w:rPr>
                                  <w:color w:val="FFFFFF" w:themeColor="background1"/>
                                </w:rPr>
                                <w:t>Research shows that</w:t>
                              </w:r>
                              <w:r w:rsidR="003F655D">
                                <w:rPr>
                                  <w:color w:val="FFFFFF" w:themeColor="background1"/>
                                </w:rPr>
                                <w:t xml:space="preserve"> between </w:t>
                              </w:r>
                              <w:r w:rsidR="003A59C4">
                                <w:rPr>
                                  <w:color w:val="FFFFFF" w:themeColor="background1"/>
                                </w:rPr>
                                <w:t>80%</w:t>
                              </w:r>
                              <w:r w:rsidR="003F655D">
                                <w:rPr>
                                  <w:color w:val="FFFFFF" w:themeColor="background1"/>
                                </w:rPr>
                                <w:t xml:space="preserve"> and </w:t>
                              </w:r>
                              <w:r w:rsidR="003A59C4">
                                <w:rPr>
                                  <w:color w:val="FFFFFF" w:themeColor="background1"/>
                                </w:rPr>
                                <w:t>95</w:t>
                              </w:r>
                              <w:r w:rsidR="003F655D">
                                <w:rPr>
                                  <w:color w:val="FFFFFF" w:themeColor="background1"/>
                                </w:rPr>
                                <w:t xml:space="preserve">% of </w:t>
                              </w:r>
                              <w:r w:rsidR="00F35B60">
                                <w:rPr>
                                  <w:color w:val="FFFFFF" w:themeColor="background1"/>
                                </w:rPr>
                                <w:t xml:space="preserve">individuals </w:t>
                              </w:r>
                              <w:r w:rsidR="00021535">
                                <w:rPr>
                                  <w:color w:val="FFFFFF" w:themeColor="background1"/>
                                </w:rPr>
                                <w:t xml:space="preserve">engaged in </w:t>
                              </w:r>
                              <w:r w:rsidR="003F655D">
                                <w:rPr>
                                  <w:color w:val="FFFFFF" w:themeColor="background1"/>
                                </w:rPr>
                                <w:t>problem gambl</w:t>
                              </w:r>
                              <w:r w:rsidR="00021535">
                                <w:rPr>
                                  <w:color w:val="FFFFFF" w:themeColor="background1"/>
                                </w:rPr>
                                <w:t>ing</w:t>
                              </w:r>
                              <w:r w:rsidR="00F35B60">
                                <w:rPr>
                                  <w:color w:val="FFFFFF" w:themeColor="background1"/>
                                </w:rPr>
                                <w:t xml:space="preserve"> </w:t>
                              </w:r>
                              <w:r w:rsidR="003A59C4">
                                <w:rPr>
                                  <w:color w:val="FFFFFF" w:themeColor="background1"/>
                                </w:rPr>
                                <w:t xml:space="preserve">do not </w:t>
                              </w:r>
                              <w:r w:rsidR="00F35B60">
                                <w:rPr>
                                  <w:color w:val="FFFFFF" w:themeColor="background1"/>
                                </w:rPr>
                                <w:t>seek help</w:t>
                              </w:r>
                              <w:r w:rsidR="006B51A8" w:rsidRPr="002E5B1D">
                                <w:rPr>
                                  <w:color w:val="FFFFFF" w:themeColor="background1"/>
                                </w:rPr>
                                <w:t>.</w:t>
                              </w:r>
                              <w:r w:rsidR="00E82B45">
                                <w:rPr>
                                  <w:color w:val="FFFFFF" w:themeColor="background1"/>
                                  <w:vertAlign w:val="superscript"/>
                                </w:rPr>
                                <w:t>6</w:t>
                              </w:r>
                            </w:p>
                            <w:p w14:paraId="6B01245F" w14:textId="77777777" w:rsidR="006B51A8" w:rsidRPr="00E35877" w:rsidRDefault="006B51A8" w:rsidP="006B51A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165EE1" id="Group 6" o:spid="_x0000_s1029" style="position:absolute;margin-left:320.6pt;margin-top:36.05pt;width:126.1pt;height:119.65pt;z-index:-251653120;mso-width-relative:margin;mso-height-relative:margin" coordorigin="-338" coordsize="13247,1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">
                <v:oval id="Oval 7" o:spid="_x0000_s1030" style="position:absolute;left:-338;width:13246;height:13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" fillcolor="#65a0d7 [3032]" stroked="f">
                  <v:fill color2="#5898d4 [3176]" rotate="t" colors="0 #71a6db;.5 #559bdb;1 #438ac9" focus="100%" type="gradient">
                    <o:fill v:ext="view" type="gradientUnscaled"/>
                  </v:fill>
                  <v:shadow on="t" color="black" opacity="41287f" offset="0,1.5pt"/>
                </v:oval>
                <v:shape id="Text Box 8" o:spid="_x0000_s1031" type="#_x0000_t202" style="position:absolute;top:2606;width:12908;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0675A9D6" w14:textId="794D5BE9" w:rsidR="006B51A8" w:rsidRPr="002E5B1D" w:rsidRDefault="0031349E" w:rsidP="006B51A8">
                        <w:pPr>
                          <w:jc w:val="center"/>
                          <w:rPr>
                            <w:color w:val="FFFFFF" w:themeColor="background1"/>
                          </w:rPr>
                        </w:pPr>
                        <w:r>
                          <w:rPr>
                            <w:color w:val="FFFFFF" w:themeColor="background1"/>
                          </w:rPr>
                          <w:t>Research shows that</w:t>
                        </w:r>
                        <w:r w:rsidR="003F655D">
                          <w:rPr>
                            <w:color w:val="FFFFFF" w:themeColor="background1"/>
                          </w:rPr>
                          <w:t xml:space="preserve"> between </w:t>
                        </w:r>
                        <w:r w:rsidR="003A59C4">
                          <w:rPr>
                            <w:color w:val="FFFFFF" w:themeColor="background1"/>
                          </w:rPr>
                          <w:t>80%</w:t>
                        </w:r>
                        <w:r w:rsidR="003F655D">
                          <w:rPr>
                            <w:color w:val="FFFFFF" w:themeColor="background1"/>
                          </w:rPr>
                          <w:t xml:space="preserve"> and </w:t>
                        </w:r>
                        <w:r w:rsidR="003A59C4">
                          <w:rPr>
                            <w:color w:val="FFFFFF" w:themeColor="background1"/>
                          </w:rPr>
                          <w:t>95</w:t>
                        </w:r>
                        <w:r w:rsidR="003F655D">
                          <w:rPr>
                            <w:color w:val="FFFFFF" w:themeColor="background1"/>
                          </w:rPr>
                          <w:t xml:space="preserve">% of </w:t>
                        </w:r>
                        <w:r w:rsidR="00F35B60">
                          <w:rPr>
                            <w:color w:val="FFFFFF" w:themeColor="background1"/>
                          </w:rPr>
                          <w:t xml:space="preserve">individuals </w:t>
                        </w:r>
                        <w:r w:rsidR="00021535">
                          <w:rPr>
                            <w:color w:val="FFFFFF" w:themeColor="background1"/>
                          </w:rPr>
                          <w:t xml:space="preserve">engaged in </w:t>
                        </w:r>
                        <w:r w:rsidR="003F655D">
                          <w:rPr>
                            <w:color w:val="FFFFFF" w:themeColor="background1"/>
                          </w:rPr>
                          <w:t>problem gambl</w:t>
                        </w:r>
                        <w:r w:rsidR="00021535">
                          <w:rPr>
                            <w:color w:val="FFFFFF" w:themeColor="background1"/>
                          </w:rPr>
                          <w:t>ing</w:t>
                        </w:r>
                        <w:r w:rsidR="00F35B60">
                          <w:rPr>
                            <w:color w:val="FFFFFF" w:themeColor="background1"/>
                          </w:rPr>
                          <w:t xml:space="preserve"> </w:t>
                        </w:r>
                        <w:r w:rsidR="003A59C4">
                          <w:rPr>
                            <w:color w:val="FFFFFF" w:themeColor="background1"/>
                          </w:rPr>
                          <w:t xml:space="preserve">do not </w:t>
                        </w:r>
                        <w:r w:rsidR="00F35B60">
                          <w:rPr>
                            <w:color w:val="FFFFFF" w:themeColor="background1"/>
                          </w:rPr>
                          <w:t>seek help</w:t>
                        </w:r>
                        <w:r w:rsidR="006B51A8" w:rsidRPr="002E5B1D">
                          <w:rPr>
                            <w:color w:val="FFFFFF" w:themeColor="background1"/>
                          </w:rPr>
                          <w:t>.</w:t>
                        </w:r>
                        <w:r w:rsidR="00E82B45">
                          <w:rPr>
                            <w:color w:val="FFFFFF" w:themeColor="background1"/>
                            <w:vertAlign w:val="superscript"/>
                          </w:rPr>
                          <w:t>6</w:t>
                        </w:r>
                      </w:p>
                      <w:p w14:paraId="6B01245F" w14:textId="77777777" w:rsidR="006B51A8" w:rsidRPr="00E35877" w:rsidRDefault="006B51A8" w:rsidP="006B51A8">
                        <w:pPr>
                          <w:rPr>
                            <w:sz w:val="16"/>
                            <w:szCs w:val="16"/>
                          </w:rPr>
                        </w:pPr>
                      </w:p>
                    </w:txbxContent>
                  </v:textbox>
                </v:shape>
                <w10:wrap type="tight"/>
              </v:group>
            </w:pict>
          </mc:Fallback>
        </mc:AlternateContent>
      </w:r>
      <w:r w:rsidR="00E32CE1">
        <w:t xml:space="preserve">The University of Adelaide explored the characteristics of </w:t>
      </w:r>
      <w:r w:rsidR="00813E4F">
        <w:t>P</w:t>
      </w:r>
      <w:r w:rsidR="004868FC">
        <w:t xml:space="preserve">revalence </w:t>
      </w:r>
      <w:r w:rsidR="00813E4F">
        <w:t>S</w:t>
      </w:r>
      <w:r w:rsidR="004868FC">
        <w:t>urvey respondents who reported gambling at risky levels</w:t>
      </w:r>
      <w:r w:rsidR="00847A02">
        <w:t>.</w:t>
      </w:r>
      <w:r w:rsidR="00847A02">
        <w:rPr>
          <w:rStyle w:val="FootnoteReference"/>
        </w:rPr>
        <w:footnoteReference w:id="4"/>
      </w:r>
      <w:r w:rsidR="002C4F7E">
        <w:t xml:space="preserve"> Analysis showed this group was typically male</w:t>
      </w:r>
      <w:r w:rsidR="005F0518">
        <w:t xml:space="preserve"> (69%)</w:t>
      </w:r>
      <w:r w:rsidR="00E96940">
        <w:t xml:space="preserve">, </w:t>
      </w:r>
      <w:r w:rsidR="005F0518">
        <w:t>non-Indigenous (96%)</w:t>
      </w:r>
      <w:r w:rsidR="007B13E0">
        <w:rPr>
          <w:rStyle w:val="FootnoteReference"/>
        </w:rPr>
        <w:footnoteReference w:id="5"/>
      </w:r>
      <w:r w:rsidR="00E96940">
        <w:t xml:space="preserve"> and </w:t>
      </w:r>
      <w:r w:rsidR="00976805">
        <w:t>employed full time (43%)</w:t>
      </w:r>
      <w:r w:rsidR="00E96940">
        <w:t xml:space="preserve">. They were slightly more likely to be </w:t>
      </w:r>
      <w:r w:rsidR="0067345E">
        <w:t>under 4</w:t>
      </w:r>
      <w:r w:rsidR="00FD28EF">
        <w:t>5</w:t>
      </w:r>
      <w:r w:rsidR="0067345E">
        <w:t xml:space="preserve"> years of age (53%)</w:t>
      </w:r>
      <w:r w:rsidR="00E96940">
        <w:t xml:space="preserve"> than </w:t>
      </w:r>
      <w:r w:rsidR="00FB7CBD">
        <w:t xml:space="preserve">45 years </w:t>
      </w:r>
      <w:r w:rsidR="00345953">
        <w:t>or</w:t>
      </w:r>
      <w:r w:rsidR="00FB7CBD">
        <w:t xml:space="preserve"> </w:t>
      </w:r>
      <w:r w:rsidR="00E96940">
        <w:t>over</w:t>
      </w:r>
      <w:r w:rsidR="00FB7CBD">
        <w:t xml:space="preserve"> (47%)</w:t>
      </w:r>
      <w:r w:rsidR="00E96940">
        <w:t>, and</w:t>
      </w:r>
      <w:r w:rsidR="00161617">
        <w:t xml:space="preserve"> slightly more likely to report being currently married or with a partner (</w:t>
      </w:r>
      <w:r w:rsidR="007F21D0">
        <w:t>44%) than having never married (42%).</w:t>
      </w:r>
    </w:p>
    <w:p w14:paraId="4CA6FAC9" w14:textId="725E0D30" w:rsidR="009E6DDD" w:rsidRDefault="009E6DDD" w:rsidP="00D6411B">
      <w:r>
        <w:t xml:space="preserve">Among those individuals identified in the </w:t>
      </w:r>
      <w:r w:rsidR="00813E4F">
        <w:t xml:space="preserve">Prevalence </w:t>
      </w:r>
      <w:r>
        <w:t>Survey as engaging in highest level</w:t>
      </w:r>
      <w:r w:rsidR="003D1F01">
        <w:t>s</w:t>
      </w:r>
      <w:r>
        <w:t xml:space="preserve"> of risky gambling</w:t>
      </w:r>
      <w:r w:rsidR="00BF78B0">
        <w:t xml:space="preserve"> (i.e., problem gambling)</w:t>
      </w:r>
      <w:r>
        <w:t xml:space="preserve">, </w:t>
      </w:r>
      <w:r w:rsidR="0089487C">
        <w:t xml:space="preserve">around </w:t>
      </w:r>
      <w:r>
        <w:t>two thirds (6</w:t>
      </w:r>
      <w:r w:rsidR="0089487C">
        <w:t>4</w:t>
      </w:r>
      <w:r>
        <w:t>%) reported that they had never so</w:t>
      </w:r>
      <w:r w:rsidR="00156710">
        <w:t>ught</w:t>
      </w:r>
      <w:r>
        <w:t xml:space="preserve"> formal help for their gambling</w:t>
      </w:r>
      <w:r w:rsidR="00DC680D">
        <w:t xml:space="preserve"> or someone else’s gambling issues</w:t>
      </w:r>
      <w:r>
        <w:t>.</w:t>
      </w:r>
      <w:r w:rsidR="00021535" w:rsidRPr="00021535">
        <w:rPr>
          <w:rStyle w:val="FootnoteReference"/>
          <w:color w:val="FFFFFF" w:themeColor="background1"/>
        </w:rPr>
        <w:footnoteReference w:id="6"/>
      </w:r>
      <w:r w:rsidR="00462DD7">
        <w:t xml:space="preserve"> </w:t>
      </w:r>
    </w:p>
    <w:p w14:paraId="1E55B5D2" w14:textId="183F438A" w:rsidR="004F034F" w:rsidRDefault="004F034F" w:rsidP="004F034F">
      <w:pPr>
        <w:pStyle w:val="Heading2"/>
      </w:pPr>
      <w:r>
        <w:lastRenderedPageBreak/>
        <w:t>Who is accessing the gambling help service system?</w:t>
      </w:r>
    </w:p>
    <w:p w14:paraId="14A54C04" w14:textId="4B0C3D4A" w:rsidR="009D5F32" w:rsidRDefault="00A022CB" w:rsidP="00A022CB">
      <w:r>
        <w:t xml:space="preserve">The University of Adelaide examined data from 530 gamblers who </w:t>
      </w:r>
      <w:r w:rsidR="00D7193A">
        <w:t xml:space="preserve">commenced treatment </w:t>
      </w:r>
      <w:r w:rsidR="00680748">
        <w:t>with</w:t>
      </w:r>
      <w:r w:rsidR="0086014E">
        <w:t xml:space="preserve"> a </w:t>
      </w:r>
      <w:r w:rsidR="00A927E7">
        <w:t xml:space="preserve">South Australian </w:t>
      </w:r>
      <w:r w:rsidR="0086014E">
        <w:t>gambling help service in 2018-19.</w:t>
      </w:r>
      <w:r w:rsidR="009A6812">
        <w:t xml:space="preserve"> Analysis showed</w:t>
      </w:r>
      <w:r w:rsidR="00F47AE2">
        <w:t xml:space="preserve"> this group was typically male (67%), </w:t>
      </w:r>
      <w:r w:rsidR="00433E88">
        <w:t xml:space="preserve">non-Indigenous (88%), </w:t>
      </w:r>
      <w:r w:rsidR="00FC6A2B">
        <w:t xml:space="preserve">born in Australia (79%), </w:t>
      </w:r>
      <w:r w:rsidR="00F47AE2">
        <w:t>under 4</w:t>
      </w:r>
      <w:r w:rsidR="00C95C95">
        <w:t>5</w:t>
      </w:r>
      <w:r w:rsidR="00F47AE2">
        <w:t xml:space="preserve"> years of age (</w:t>
      </w:r>
      <w:r w:rsidR="00FA59BA">
        <w:t>60</w:t>
      </w:r>
      <w:r w:rsidR="00F47AE2">
        <w:t>%)</w:t>
      </w:r>
      <w:r w:rsidR="0086797A">
        <w:t>, and socially and economically vulnerable.</w:t>
      </w:r>
      <w:r w:rsidR="000B0428">
        <w:t xml:space="preserve"> For example, around one quarter of clients were in full time employment</w:t>
      </w:r>
      <w:r w:rsidR="00FC6A2B">
        <w:t xml:space="preserve"> (27%)</w:t>
      </w:r>
      <w:r w:rsidR="000B0428">
        <w:t xml:space="preserve">, </w:t>
      </w:r>
      <w:r w:rsidR="001240BF">
        <w:t>relatively few owned their own homes</w:t>
      </w:r>
      <w:r w:rsidR="0069034A">
        <w:t xml:space="preserve"> (16%)</w:t>
      </w:r>
      <w:r w:rsidR="001240BF">
        <w:t>, and only 30% reported being</w:t>
      </w:r>
      <w:r w:rsidR="00253977">
        <w:t xml:space="preserve"> currently</w:t>
      </w:r>
      <w:r w:rsidR="001240BF">
        <w:t xml:space="preserve"> married or with a partner.</w:t>
      </w:r>
      <w:r w:rsidR="00CE661F">
        <w:t xml:space="preserve"> </w:t>
      </w:r>
    </w:p>
    <w:p w14:paraId="0CBB18F5" w14:textId="21F3736B" w:rsidR="00CE661F" w:rsidRDefault="00E42D56" w:rsidP="00A022CB">
      <w:r>
        <w:t>Most</w:t>
      </w:r>
      <w:r w:rsidR="005F4BA2">
        <w:t xml:space="preserve"> help-seekers </w:t>
      </w:r>
      <w:r w:rsidR="003E13B4">
        <w:t>reported gambling at risky levels (11% were modera</w:t>
      </w:r>
      <w:r w:rsidR="00E53261">
        <w:t xml:space="preserve">te </w:t>
      </w:r>
      <w:r w:rsidR="005F6217">
        <w:t xml:space="preserve">risk gamblers and 80% were </w:t>
      </w:r>
      <w:r w:rsidR="00EB1CA8">
        <w:t>problem</w:t>
      </w:r>
      <w:r w:rsidR="005F6217">
        <w:t xml:space="preserve"> gamblers)</w:t>
      </w:r>
      <w:r w:rsidR="005F4BA2">
        <w:t>. M</w:t>
      </w:r>
      <w:r w:rsidR="009D5F32">
        <w:t>ost</w:t>
      </w:r>
      <w:r w:rsidR="002532AD">
        <w:t xml:space="preserve"> (72%)</w:t>
      </w:r>
      <w:r w:rsidR="005F4BA2">
        <w:t xml:space="preserve"> </w:t>
      </w:r>
      <w:r w:rsidR="00F06335">
        <w:t>identified</w:t>
      </w:r>
      <w:r w:rsidR="00E003E5">
        <w:t xml:space="preserve"> electronic gaming machines (</w:t>
      </w:r>
      <w:r w:rsidR="002D36F2">
        <w:t>EGMs</w:t>
      </w:r>
      <w:r w:rsidR="00E003E5">
        <w:t xml:space="preserve">) </w:t>
      </w:r>
      <w:r w:rsidR="00772D36">
        <w:t>as</w:t>
      </w:r>
      <w:r w:rsidR="005F4BA2">
        <w:t xml:space="preserve"> the </w:t>
      </w:r>
      <w:r w:rsidR="00F06335">
        <w:t xml:space="preserve">main </w:t>
      </w:r>
      <w:r w:rsidR="005F4BA2">
        <w:t>gambling product causing them problems</w:t>
      </w:r>
      <w:r w:rsidR="005F6217">
        <w:t>.</w:t>
      </w:r>
      <w:r w:rsidR="00F06335">
        <w:t xml:space="preserve"> Around 30% of help seekers described being preoccupied with gambling most (22%) or all (6%) of the time and had spent more than $500 on gambling products </w:t>
      </w:r>
      <w:r w:rsidR="00D14387">
        <w:t>in the last 14 days</w:t>
      </w:r>
      <w:r w:rsidR="00F06335">
        <w:t xml:space="preserve">. </w:t>
      </w:r>
      <w:r w:rsidR="00A1182C">
        <w:t xml:space="preserve">For comparison, </w:t>
      </w:r>
      <w:r w:rsidR="00E4395F">
        <w:t>t</w:t>
      </w:r>
      <w:r w:rsidR="00F06335">
        <w:t xml:space="preserve">he mean </w:t>
      </w:r>
      <w:r w:rsidR="00F06335">
        <w:rPr>
          <w:i/>
          <w:iCs/>
        </w:rPr>
        <w:t xml:space="preserve">annual </w:t>
      </w:r>
      <w:r w:rsidR="00F06335">
        <w:t>expenditure by gamblers in South Australia</w:t>
      </w:r>
      <w:r w:rsidR="007268D9">
        <w:t xml:space="preserve"> on gambling products in 2017-18</w:t>
      </w:r>
      <w:r w:rsidR="00F06335">
        <w:t xml:space="preserve"> </w:t>
      </w:r>
      <w:r w:rsidR="007268D9">
        <w:t>was</w:t>
      </w:r>
      <w:r w:rsidR="00F06335">
        <w:t xml:space="preserve"> $</w:t>
      </w:r>
      <w:r w:rsidR="007268D9">
        <w:t>825</w:t>
      </w:r>
      <w:r w:rsidR="00F06335">
        <w:t>.</w:t>
      </w:r>
      <w:r w:rsidR="007268D9">
        <w:rPr>
          <w:rStyle w:val="FootnoteReference"/>
        </w:rPr>
        <w:footnoteReference w:id="7"/>
      </w:r>
    </w:p>
    <w:p w14:paraId="24465687" w14:textId="704BC383" w:rsidR="006500C9" w:rsidRDefault="00C33A94" w:rsidP="00A022CB">
      <w:r>
        <w:rPr>
          <w:noProof/>
        </w:rPr>
        <mc:AlternateContent>
          <mc:Choice Requires="wpg">
            <w:drawing>
              <wp:anchor distT="0" distB="0" distL="114300" distR="114300" simplePos="0" relativeHeight="251661312" behindDoc="1" locked="0" layoutInCell="1" allowOverlap="1" wp14:anchorId="1BDEB389" wp14:editId="76A7C309">
                <wp:simplePos x="0" y="0"/>
                <wp:positionH relativeFrom="column">
                  <wp:posOffset>4140200</wp:posOffset>
                </wp:positionH>
                <wp:positionV relativeFrom="paragraph">
                  <wp:posOffset>1149985</wp:posOffset>
                </wp:positionV>
                <wp:extent cx="1600835" cy="1519555"/>
                <wp:effectExtent l="57150" t="38100" r="56515" b="80645"/>
                <wp:wrapTight wrapText="bothSides">
                  <wp:wrapPolygon edited="0">
                    <wp:start x="8225" y="-542"/>
                    <wp:lineTo x="1285" y="-271"/>
                    <wp:lineTo x="1285" y="4062"/>
                    <wp:lineTo x="-771" y="4062"/>
                    <wp:lineTo x="-771" y="15435"/>
                    <wp:lineTo x="514" y="17060"/>
                    <wp:lineTo x="514" y="17601"/>
                    <wp:lineTo x="4884" y="21392"/>
                    <wp:lineTo x="7968" y="22476"/>
                    <wp:lineTo x="13623" y="22476"/>
                    <wp:lineTo x="16194" y="21392"/>
                    <wp:lineTo x="20820" y="17331"/>
                    <wp:lineTo x="20820" y="17060"/>
                    <wp:lineTo x="22106" y="12998"/>
                    <wp:lineTo x="22106" y="8394"/>
                    <wp:lineTo x="20049" y="4333"/>
                    <wp:lineTo x="20049" y="3249"/>
                    <wp:lineTo x="14651" y="-271"/>
                    <wp:lineTo x="13109" y="-542"/>
                    <wp:lineTo x="8225" y="-542"/>
                  </wp:wrapPolygon>
                </wp:wrapTight>
                <wp:docPr id="3" name="Group 3"/>
                <wp:cNvGraphicFramePr/>
                <a:graphic xmlns:a="http://schemas.openxmlformats.org/drawingml/2006/main">
                  <a:graphicData uri="http://schemas.microsoft.com/office/word/2010/wordprocessingGroup">
                    <wpg:wgp>
                      <wpg:cNvGrpSpPr/>
                      <wpg:grpSpPr>
                        <a:xfrm>
                          <a:off x="0" y="0"/>
                          <a:ext cx="1600835" cy="1519555"/>
                          <a:chOff x="-33895" y="0"/>
                          <a:chExt cx="1324750" cy="1332205"/>
                        </a:xfrm>
                      </wpg:grpSpPr>
                      <wps:wsp>
                        <wps:cNvPr id="4" name="Oval 4"/>
                        <wps:cNvSpPr/>
                        <wps:spPr>
                          <a:xfrm>
                            <a:off x="-33895" y="0"/>
                            <a:ext cx="1324750" cy="1332205"/>
                          </a:xfrm>
                          <a:prstGeom prst="ellipse">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10512" y="316328"/>
                            <a:ext cx="1290863" cy="796938"/>
                          </a:xfrm>
                          <a:prstGeom prst="rect">
                            <a:avLst/>
                          </a:prstGeom>
                          <a:noFill/>
                          <a:ln w="6350">
                            <a:noFill/>
                          </a:ln>
                        </wps:spPr>
                        <wps:txbx>
                          <w:txbxContent>
                            <w:p w14:paraId="130A4115" w14:textId="54B8E88C" w:rsidR="00423246" w:rsidRPr="00E35877" w:rsidRDefault="00423246" w:rsidP="009039A1">
                              <w:pPr>
                                <w:spacing w:after="0"/>
                                <w:jc w:val="center"/>
                                <w:rPr>
                                  <w:sz w:val="16"/>
                                  <w:szCs w:val="16"/>
                                </w:rPr>
                              </w:pPr>
                              <w:r>
                                <w:rPr>
                                  <w:color w:val="FFFFFF" w:themeColor="background1"/>
                                </w:rPr>
                                <w:t xml:space="preserve">On average, it takes someone </w:t>
                              </w:r>
                              <w:r w:rsidR="00817E53">
                                <w:rPr>
                                  <w:color w:val="FFFFFF" w:themeColor="background1"/>
                                </w:rPr>
                                <w:t>5</w:t>
                              </w:r>
                              <w:r>
                                <w:rPr>
                                  <w:color w:val="FFFFFF" w:themeColor="background1"/>
                                </w:rPr>
                                <w:t xml:space="preserve"> years to seek </w:t>
                              </w:r>
                              <w:r w:rsidR="009039A1">
                                <w:rPr>
                                  <w:color w:val="FFFFFF" w:themeColor="background1"/>
                                </w:rPr>
                                <w:t>help for problem gambling</w:t>
                              </w:r>
                              <w:r w:rsidRPr="002E5B1D">
                                <w:rPr>
                                  <w:color w:val="FFFFFF" w:themeColor="background1"/>
                                </w:rPr>
                                <w:t>.</w:t>
                              </w:r>
                              <w:r w:rsidR="00E82B45">
                                <w:rPr>
                                  <w:color w:val="FFFFFF" w:themeColor="background1"/>
                                  <w:vertAlign w:val="superscript"/>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DEB389" id="Group 3" o:spid="_x0000_s1032" style="position:absolute;margin-left:326pt;margin-top:90.55pt;width:126.05pt;height:119.65pt;z-index:-251655168;mso-width-relative:margin;mso-height-relative:margin" coordorigin="-338" coordsize="13247,1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">
                <v:oval id="Oval 4" o:spid="_x0000_s1033" style="position:absolute;left:-338;width:13246;height:13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" fillcolor="#65a0d7 [3032]" stroked="f">
                  <v:fill color2="#5898d4 [3176]" rotate="t" colors="0 #71a6db;.5 #559bdb;1 #438ac9" focus="100%" type="gradient">
                    <o:fill v:ext="view" type="gradientUnscaled"/>
                  </v:fill>
                  <v:shadow on="t" color="black" opacity="41287f" offset="0,1.5pt"/>
                </v:oval>
                <v:shape id="Text Box 5" o:spid="_x0000_s1034" type="#_x0000_t202" style="position:absolute;left:-105;top:3163;width:12908;height:7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130A4115" w14:textId="54B8E88C" w:rsidR="00423246" w:rsidRPr="00E35877" w:rsidRDefault="00423246" w:rsidP="009039A1">
                        <w:pPr>
                          <w:spacing w:after="0"/>
                          <w:jc w:val="center"/>
                          <w:rPr>
                            <w:sz w:val="16"/>
                            <w:szCs w:val="16"/>
                          </w:rPr>
                        </w:pPr>
                        <w:r>
                          <w:rPr>
                            <w:color w:val="FFFFFF" w:themeColor="background1"/>
                          </w:rPr>
                          <w:t xml:space="preserve">On average, it takes someone </w:t>
                        </w:r>
                        <w:r w:rsidR="00817E53">
                          <w:rPr>
                            <w:color w:val="FFFFFF" w:themeColor="background1"/>
                          </w:rPr>
                          <w:t>5</w:t>
                        </w:r>
                        <w:r>
                          <w:rPr>
                            <w:color w:val="FFFFFF" w:themeColor="background1"/>
                          </w:rPr>
                          <w:t xml:space="preserve"> years to seek </w:t>
                        </w:r>
                        <w:r w:rsidR="009039A1">
                          <w:rPr>
                            <w:color w:val="FFFFFF" w:themeColor="background1"/>
                          </w:rPr>
                          <w:t>help for problem gambling</w:t>
                        </w:r>
                        <w:r w:rsidRPr="002E5B1D">
                          <w:rPr>
                            <w:color w:val="FFFFFF" w:themeColor="background1"/>
                          </w:rPr>
                          <w:t>.</w:t>
                        </w:r>
                        <w:r w:rsidR="00E82B45">
                          <w:rPr>
                            <w:color w:val="FFFFFF" w:themeColor="background1"/>
                            <w:vertAlign w:val="superscript"/>
                          </w:rPr>
                          <w:t>7</w:t>
                        </w:r>
                      </w:p>
                    </w:txbxContent>
                  </v:textbox>
                </v:shape>
                <w10:wrap type="tight"/>
              </v:group>
            </w:pict>
          </mc:Fallback>
        </mc:AlternateContent>
      </w:r>
      <w:r w:rsidR="00CE661F">
        <w:t xml:space="preserve">Gamblers </w:t>
      </w:r>
      <w:r w:rsidR="00801CC4">
        <w:t xml:space="preserve">were </w:t>
      </w:r>
      <w:r w:rsidR="00534BD6">
        <w:t xml:space="preserve">typically </w:t>
      </w:r>
      <w:r w:rsidR="00801CC4">
        <w:t>at</w:t>
      </w:r>
      <w:r w:rsidR="00534BD6">
        <w:t xml:space="preserve"> crisis point </w:t>
      </w:r>
      <w:r w:rsidR="00801CC4">
        <w:t>when</w:t>
      </w:r>
      <w:r w:rsidR="00534BD6">
        <w:t xml:space="preserve"> seeking treatment</w:t>
      </w:r>
      <w:r w:rsidR="00CE661F">
        <w:t>.</w:t>
      </w:r>
      <w:r w:rsidR="00427CE9" w:rsidRPr="001225CA">
        <w:rPr>
          <w:rStyle w:val="FootnoteReference"/>
          <w:color w:val="FFFFFF" w:themeColor="background1"/>
        </w:rPr>
        <w:footnoteReference w:id="8"/>
      </w:r>
      <w:r w:rsidR="008B13F0">
        <w:t>Just under two thirds reported experiencing marked to very severe financial problems (65%)</w:t>
      </w:r>
      <w:r w:rsidR="001A5DAA">
        <w:t xml:space="preserve"> and </w:t>
      </w:r>
      <w:r w:rsidR="00A066B5">
        <w:t xml:space="preserve">over two thirds (68%) </w:t>
      </w:r>
      <w:r w:rsidR="00B60DA7">
        <w:t>had high or very high levels of psychological distress</w:t>
      </w:r>
      <w:r w:rsidR="006D4133">
        <w:t>.</w:t>
      </w:r>
      <w:r w:rsidR="008D196D">
        <w:rPr>
          <w:rStyle w:val="FootnoteReference"/>
        </w:rPr>
        <w:footnoteReference w:id="9"/>
      </w:r>
      <w:r w:rsidR="006D4133">
        <w:t xml:space="preserve"> </w:t>
      </w:r>
      <w:r w:rsidR="00DE57E5">
        <w:t xml:space="preserve">When </w:t>
      </w:r>
      <w:r w:rsidR="00D21B70">
        <w:t xml:space="preserve">asked about </w:t>
      </w:r>
      <w:r w:rsidR="0058113F">
        <w:t xml:space="preserve">the key </w:t>
      </w:r>
      <w:r w:rsidR="005C5DB9">
        <w:t>reason</w:t>
      </w:r>
      <w:r w:rsidR="005E168D">
        <w:t>/s</w:t>
      </w:r>
      <w:r w:rsidR="005C5DB9">
        <w:t xml:space="preserve"> for seeking help, </w:t>
      </w:r>
      <w:r w:rsidR="005E168D">
        <w:t xml:space="preserve">individuals described </w:t>
      </w:r>
      <w:r w:rsidR="00F920A3">
        <w:t xml:space="preserve">struggling with their </w:t>
      </w:r>
      <w:r w:rsidR="00CA55E5">
        <w:t xml:space="preserve">gambling (96%), financial issues (51%), </w:t>
      </w:r>
      <w:r w:rsidR="005E168D">
        <w:t>mental health issues</w:t>
      </w:r>
      <w:r w:rsidR="007F1DD0">
        <w:t xml:space="preserve"> (37%)</w:t>
      </w:r>
      <w:r w:rsidR="005E168D">
        <w:t>, family problems</w:t>
      </w:r>
      <w:r w:rsidR="007F1DD0">
        <w:t xml:space="preserve"> (33%)</w:t>
      </w:r>
      <w:r w:rsidR="005E168D">
        <w:t>,</w:t>
      </w:r>
      <w:r w:rsidR="009D1959">
        <w:t xml:space="preserve"> and</w:t>
      </w:r>
      <w:r w:rsidR="005E168D">
        <w:t xml:space="preserve"> issues with substance use</w:t>
      </w:r>
      <w:r w:rsidR="007F1DD0">
        <w:t xml:space="preserve"> (27%)</w:t>
      </w:r>
      <w:r w:rsidR="005E168D">
        <w:t>.</w:t>
      </w:r>
      <w:r w:rsidR="00F920A3">
        <w:t xml:space="preserve"> </w:t>
      </w:r>
      <w:r w:rsidR="00312672">
        <w:t>Most</w:t>
      </w:r>
      <w:r w:rsidR="0041682A">
        <w:t xml:space="preserve"> help seekers (80%) described</w:t>
      </w:r>
      <w:r w:rsidR="00801CC4">
        <w:t xml:space="preserve"> experiencing</w:t>
      </w:r>
      <w:r w:rsidR="0041682A">
        <w:t xml:space="preserve"> more than one issue.</w:t>
      </w:r>
    </w:p>
    <w:p w14:paraId="49003903" w14:textId="6F962F2D" w:rsidR="00FA5CD3" w:rsidRDefault="004D5326" w:rsidP="00A022CB">
      <w:r>
        <w:t>Among help-seekers, gambling</w:t>
      </w:r>
      <w:r w:rsidR="004F3EA4">
        <w:t xml:space="preserve"> behaviours and </w:t>
      </w:r>
      <w:r>
        <w:t xml:space="preserve">the </w:t>
      </w:r>
      <w:r w:rsidR="001906EA">
        <w:t xml:space="preserve">experience of harm differed depending on an individual’s age and gender. </w:t>
      </w:r>
      <w:r w:rsidR="0035097D">
        <w:t>On average m</w:t>
      </w:r>
      <w:r w:rsidR="003A6285">
        <w:t>ale help</w:t>
      </w:r>
      <w:r w:rsidR="00BC7464">
        <w:t>-</w:t>
      </w:r>
      <w:r w:rsidR="003A6285">
        <w:t>seekers</w:t>
      </w:r>
      <w:r w:rsidR="0035097D">
        <w:t xml:space="preserve"> (38 years)</w:t>
      </w:r>
      <w:r w:rsidR="003A6285">
        <w:t xml:space="preserve"> </w:t>
      </w:r>
      <w:r w:rsidR="003851BA">
        <w:t>were significantly younger than female help</w:t>
      </w:r>
      <w:r w:rsidR="00DE0619">
        <w:t xml:space="preserve"> </w:t>
      </w:r>
      <w:r w:rsidR="003851BA">
        <w:t>seekers</w:t>
      </w:r>
      <w:r w:rsidR="0035097D">
        <w:t xml:space="preserve"> (49 years)</w:t>
      </w:r>
      <w:r w:rsidR="003851BA">
        <w:t>.</w:t>
      </w:r>
      <w:r w:rsidR="00DE0619">
        <w:t xml:space="preserve"> </w:t>
      </w:r>
      <w:r w:rsidR="00485E55">
        <w:t>Young men</w:t>
      </w:r>
      <w:r w:rsidR="008C3EDB">
        <w:t xml:space="preserve"> (40 years</w:t>
      </w:r>
      <w:r w:rsidR="00345953">
        <w:t xml:space="preserve"> or younger</w:t>
      </w:r>
      <w:r w:rsidR="008C3EDB">
        <w:t xml:space="preserve">) were more likely than other age-gender </w:t>
      </w:r>
      <w:r w:rsidR="00EC1D7D">
        <w:t>categories</w:t>
      </w:r>
      <w:r w:rsidR="008C3EDB">
        <w:t xml:space="preserve"> to report</w:t>
      </w:r>
      <w:r w:rsidR="00EC1D7D">
        <w:t xml:space="preserve"> </w:t>
      </w:r>
      <w:r w:rsidR="00460C04">
        <w:t>a range of gambling activities as the source of the</w:t>
      </w:r>
      <w:r w:rsidR="00202473">
        <w:t>ir</w:t>
      </w:r>
      <w:r w:rsidR="00460C04">
        <w:t xml:space="preserve"> problems</w:t>
      </w:r>
      <w:r w:rsidR="00202473">
        <w:t xml:space="preserve">, while young women </w:t>
      </w:r>
      <w:r w:rsidR="002D36F2">
        <w:t>were most likely to report struggling with EGMs.</w:t>
      </w:r>
      <w:r w:rsidR="00B7118B">
        <w:t xml:space="preserve"> A higher proportion of young men (14%) than any other age-gender </w:t>
      </w:r>
      <w:r w:rsidR="00EC1D7D">
        <w:t>category</w:t>
      </w:r>
      <w:r w:rsidR="00576F25">
        <w:t xml:space="preserve"> reported sports gambling as the source of their problems.</w:t>
      </w:r>
    </w:p>
    <w:p w14:paraId="6688BA6E" w14:textId="05A8DBB9" w:rsidR="00576F25" w:rsidRDefault="00576F25" w:rsidP="00A022CB">
      <w:r>
        <w:t>Older clients (</w:t>
      </w:r>
      <w:r w:rsidR="00C21B51">
        <w:t>41</w:t>
      </w:r>
      <w:r w:rsidR="00345953">
        <w:t xml:space="preserve"> years o</w:t>
      </w:r>
      <w:r w:rsidR="00C21B51">
        <w:t>r older</w:t>
      </w:r>
      <w:r>
        <w:t>) were more likely than younger clients</w:t>
      </w:r>
      <w:r w:rsidR="00C21B51">
        <w:t xml:space="preserve"> (40 years or younger)</w:t>
      </w:r>
      <w:r w:rsidR="008E033B">
        <w:t xml:space="preserve"> </w:t>
      </w:r>
      <w:r>
        <w:t xml:space="preserve">to report </w:t>
      </w:r>
      <w:r w:rsidR="001A786F">
        <w:t>being affected by</w:t>
      </w:r>
      <w:r>
        <w:t xml:space="preserve"> health </w:t>
      </w:r>
      <w:r w:rsidR="005D332E">
        <w:t>problems</w:t>
      </w:r>
      <w:r w:rsidR="00A91B51">
        <w:t>, and both older clients and young women were more likely than you</w:t>
      </w:r>
      <w:r w:rsidR="00C21B51">
        <w:t>ng</w:t>
      </w:r>
      <w:r w:rsidR="00A91B51">
        <w:t xml:space="preserve"> men to report experiencing social isolation</w:t>
      </w:r>
      <w:r w:rsidR="000D6509">
        <w:t xml:space="preserve"> (see </w:t>
      </w:r>
      <w:r w:rsidR="00A32C15">
        <w:t>Figure</w:t>
      </w:r>
      <w:r w:rsidR="000D6509">
        <w:t xml:space="preserve"> 1)</w:t>
      </w:r>
      <w:r w:rsidR="00A91B51">
        <w:t>.</w:t>
      </w:r>
      <w:r w:rsidR="001A786F">
        <w:t xml:space="preserve"> </w:t>
      </w:r>
      <w:r w:rsidR="00A91B51">
        <w:t xml:space="preserve">Young women </w:t>
      </w:r>
      <w:r w:rsidR="00E11CD3">
        <w:t>were also more likely than other age-gender categories to report domestic issues</w:t>
      </w:r>
      <w:r w:rsidR="00E37BFC">
        <w:t>, while young men were more likely to report</w:t>
      </w:r>
      <w:r w:rsidR="007974E2">
        <w:t xml:space="preserve"> issues with</w:t>
      </w:r>
      <w:r w:rsidR="00E37BFC">
        <w:t xml:space="preserve"> </w:t>
      </w:r>
      <w:r w:rsidR="009A6BF8">
        <w:t>offending</w:t>
      </w:r>
      <w:r w:rsidR="00E11CD3">
        <w:t xml:space="preserve">. </w:t>
      </w:r>
    </w:p>
    <w:p w14:paraId="3A01EF65" w14:textId="77777777" w:rsidR="007974E2" w:rsidRDefault="007974E2" w:rsidP="00A022CB"/>
    <w:p w14:paraId="735FC18B" w14:textId="77777777" w:rsidR="007974E2" w:rsidRDefault="00A32C15" w:rsidP="007974E2">
      <w:pPr>
        <w:keepNext/>
      </w:pPr>
      <w:r>
        <w:rPr>
          <w:noProof/>
        </w:rPr>
        <w:lastRenderedPageBreak/>
        <w:drawing>
          <wp:inline distT="0" distB="0" distL="0" distR="0" wp14:anchorId="24C20D0F" wp14:editId="22EEF58D">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EE10E9F" w14:textId="12F4E5B8" w:rsidR="00A32C15" w:rsidRDefault="007974E2" w:rsidP="007974E2">
      <w:pPr>
        <w:pStyle w:val="Caption"/>
      </w:pPr>
      <w:r>
        <w:t xml:space="preserve">Figure </w:t>
      </w:r>
      <w:fldSimple w:instr=" SEQ Figure \* ARABIC ">
        <w:r w:rsidR="007268D9">
          <w:rPr>
            <w:noProof/>
          </w:rPr>
          <w:t>1</w:t>
        </w:r>
      </w:fldSimple>
      <w:r>
        <w:t xml:space="preserve"> Gender and age differences in problems reported by help-seeking gamblers</w:t>
      </w:r>
    </w:p>
    <w:p w14:paraId="1083EEF8" w14:textId="0D117F2D" w:rsidR="00CA3E99" w:rsidRDefault="00BC7DAC" w:rsidP="00CA3E99">
      <w:pPr>
        <w:pStyle w:val="Heading3"/>
      </w:pPr>
      <w:r>
        <w:t>Self-exclusion</w:t>
      </w:r>
    </w:p>
    <w:p w14:paraId="4D34BE3F" w14:textId="00F72BB6" w:rsidR="00EC34AE" w:rsidRDefault="00B01176" w:rsidP="00346467">
      <w:r>
        <w:t>South Australia</w:t>
      </w:r>
      <w:r w:rsidR="001C409A">
        <w:t xml:space="preserve"> allows gamblers </w:t>
      </w:r>
      <w:r w:rsidR="005569B3">
        <w:t>to voluntarily bar themselves from gambling.</w:t>
      </w:r>
      <w:r w:rsidR="00B92C5E">
        <w:t xml:space="preserve"> </w:t>
      </w:r>
      <w:r w:rsidR="00573C6B">
        <w:t>A barring order can apply to one or more venues</w:t>
      </w:r>
      <w:r w:rsidR="001554B5">
        <w:t xml:space="preserve"> as well as</w:t>
      </w:r>
      <w:r w:rsidR="00AC10E7">
        <w:t xml:space="preserve"> online betting products</w:t>
      </w:r>
      <w:r w:rsidR="001554B5">
        <w:t>. Individuals can choose to be barred from gambling for a minimum of</w:t>
      </w:r>
      <w:r w:rsidR="00664D6F">
        <w:t xml:space="preserve"> three</w:t>
      </w:r>
      <w:r w:rsidR="001554B5">
        <w:t xml:space="preserve"> months or longer</w:t>
      </w:r>
      <w:r w:rsidR="00664D6F">
        <w:t xml:space="preserve">. </w:t>
      </w:r>
      <w:r w:rsidR="00366E0D">
        <w:t xml:space="preserve">Someone </w:t>
      </w:r>
      <w:r w:rsidR="00B3476D">
        <w:t>who is concerned about a</w:t>
      </w:r>
      <w:r w:rsidR="00366E0D">
        <w:t>nother</w:t>
      </w:r>
      <w:r w:rsidR="00B3476D">
        <w:t xml:space="preserve"> person’s gambling behaviour can</w:t>
      </w:r>
      <w:r w:rsidR="00366E0D">
        <w:t xml:space="preserve"> also</w:t>
      </w:r>
      <w:r w:rsidR="00B3476D">
        <w:t xml:space="preserve"> initiate a </w:t>
      </w:r>
      <w:r w:rsidR="00366E0D">
        <w:t>barring</w:t>
      </w:r>
      <w:r w:rsidR="005569B3">
        <w:t xml:space="preserve"> </w:t>
      </w:r>
      <w:r w:rsidR="00366E0D">
        <w:t>order.</w:t>
      </w:r>
      <w:r w:rsidR="009F6B15">
        <w:t xml:space="preserve"> </w:t>
      </w:r>
    </w:p>
    <w:p w14:paraId="2405CC34" w14:textId="0F7CB3FD" w:rsidR="009E2D79" w:rsidRDefault="00242456" w:rsidP="003B2600">
      <w:r>
        <w:t xml:space="preserve">To be effective, </w:t>
      </w:r>
      <w:r w:rsidR="0099545B">
        <w:t xml:space="preserve">self-exclusion </w:t>
      </w:r>
      <w:r w:rsidR="00F30B8B">
        <w:t>options</w:t>
      </w:r>
      <w:r>
        <w:t xml:space="preserve"> require</w:t>
      </w:r>
      <w:r w:rsidR="00F30B8B">
        <w:t xml:space="preserve"> an</w:t>
      </w:r>
      <w:r>
        <w:t xml:space="preserve"> individual to recognise they have a problem with gambling, take steps to address that problem, and comply with the barring order.</w:t>
      </w:r>
      <w:r w:rsidR="007D4D45">
        <w:t xml:space="preserve"> </w:t>
      </w:r>
      <w:r w:rsidR="003B78F6">
        <w:t xml:space="preserve">Evaluations of the effectiveness of self-exclusion as a mechanism for reducing gambling harm </w:t>
      </w:r>
      <w:r w:rsidR="00C468BA">
        <w:t>are</w:t>
      </w:r>
      <w:r w:rsidR="00464674">
        <w:t xml:space="preserve"> </w:t>
      </w:r>
      <w:r w:rsidR="003B78F6">
        <w:t>relatively rare</w:t>
      </w:r>
      <w:r w:rsidR="00464674">
        <w:t xml:space="preserve"> and </w:t>
      </w:r>
      <w:r w:rsidR="00143A18">
        <w:t xml:space="preserve">typically of low to moderate quality (Livingstone et al., 2019). </w:t>
      </w:r>
      <w:r w:rsidR="00B50D49">
        <w:t>Th</w:t>
      </w:r>
      <w:r w:rsidR="001A1FF1">
        <w:t>ose</w:t>
      </w:r>
      <w:r w:rsidR="001C12A0">
        <w:t xml:space="preserve"> which do exist </w:t>
      </w:r>
      <w:r w:rsidR="00A21622">
        <w:t xml:space="preserve">suggest </w:t>
      </w:r>
      <w:r w:rsidR="00135BC0">
        <w:t>self-exclusion programs</w:t>
      </w:r>
      <w:r w:rsidR="001C12A0">
        <w:t xml:space="preserve"> </w:t>
      </w:r>
      <w:r w:rsidR="000E36D3">
        <w:t>have a very modest effect</w:t>
      </w:r>
      <w:r w:rsidR="00135BC0">
        <w:t xml:space="preserve"> and </w:t>
      </w:r>
      <w:r w:rsidR="00DE07F5">
        <w:t xml:space="preserve">are most likely to be successful for </w:t>
      </w:r>
      <w:r w:rsidR="0065681D">
        <w:t xml:space="preserve">people who </w:t>
      </w:r>
      <w:r w:rsidR="003B2600">
        <w:t>are</w:t>
      </w:r>
      <w:r w:rsidR="002932E7">
        <w:t xml:space="preserve"> </w:t>
      </w:r>
      <w:r w:rsidR="00D80D55">
        <w:t xml:space="preserve">taking other steps to address their gambling </w:t>
      </w:r>
      <w:r w:rsidR="00420A15">
        <w:t xml:space="preserve">(e.g., </w:t>
      </w:r>
      <w:r w:rsidR="009462AB">
        <w:t>treatment</w:t>
      </w:r>
      <w:r w:rsidR="00420A15">
        <w:t>, self-help)</w:t>
      </w:r>
      <w:r w:rsidR="00302C2C">
        <w:t xml:space="preserve"> (Livingstone et al., 2019)</w:t>
      </w:r>
      <w:r w:rsidR="009E2D79">
        <w:t xml:space="preserve">. </w:t>
      </w:r>
    </w:p>
    <w:p w14:paraId="1277AE7C" w14:textId="77777777" w:rsidR="0057438B" w:rsidRDefault="00A335E7" w:rsidP="00346467">
      <w:r>
        <w:t xml:space="preserve">The University of Adelaide examined the characteristics of </w:t>
      </w:r>
      <w:r w:rsidR="00E968EB">
        <w:t>339 people who sought voluntary barring orders in 2018-19.</w:t>
      </w:r>
      <w:r w:rsidR="007C0291">
        <w:t xml:space="preserve"> </w:t>
      </w:r>
      <w:r w:rsidR="002E7905">
        <w:t>People who sought barring were typically older</w:t>
      </w:r>
      <w:r w:rsidR="00754C0D">
        <w:t xml:space="preserve"> (91% aged 25 years or older), </w:t>
      </w:r>
      <w:r w:rsidR="007C0291">
        <w:t>male</w:t>
      </w:r>
      <w:r w:rsidR="001603F8">
        <w:t xml:space="preserve"> (</w:t>
      </w:r>
      <w:r w:rsidR="00E93ACD">
        <w:t>53</w:t>
      </w:r>
      <w:r w:rsidR="001603F8">
        <w:t>%)</w:t>
      </w:r>
      <w:r w:rsidR="006C03E0">
        <w:t>,</w:t>
      </w:r>
      <w:r w:rsidR="007C0291">
        <w:t xml:space="preserve"> and from metropolitan areas</w:t>
      </w:r>
      <w:r w:rsidR="003D5041">
        <w:t xml:space="preserve"> (70%)</w:t>
      </w:r>
      <w:r w:rsidR="00E12A91">
        <w:t>.</w:t>
      </w:r>
      <w:r w:rsidR="007C0291">
        <w:t xml:space="preserve"> </w:t>
      </w:r>
      <w:r w:rsidR="00713103">
        <w:t>Most people barred themselves from gambling on EGMs (80%).</w:t>
      </w:r>
      <w:r w:rsidR="00304F90">
        <w:t xml:space="preserve"> </w:t>
      </w:r>
    </w:p>
    <w:p w14:paraId="5F823BBD" w14:textId="41094409" w:rsidR="00200EAB" w:rsidRDefault="0057438B" w:rsidP="00346467">
      <w:r>
        <w:t>When compared to gamblers who commenced treatment with a gambling help service</w:t>
      </w:r>
      <w:r w:rsidR="00CD2508">
        <w:t xml:space="preserve">, </w:t>
      </w:r>
      <w:r>
        <w:t>gamblers who sought barring orders</w:t>
      </w:r>
      <w:r w:rsidR="00FD0FDE">
        <w:t xml:space="preserve"> were</w:t>
      </w:r>
      <w:r w:rsidR="001B36D2">
        <w:t xml:space="preserve"> </w:t>
      </w:r>
      <w:r w:rsidR="00A252DA">
        <w:t>more likely to be femal</w:t>
      </w:r>
      <w:r w:rsidR="00032AC0">
        <w:t>e and 25 years or older.</w:t>
      </w:r>
      <w:r w:rsidR="00170ADE">
        <w:t xml:space="preserve"> That is, </w:t>
      </w:r>
      <w:r w:rsidR="00C3570E">
        <w:t xml:space="preserve">help-seeking </w:t>
      </w:r>
      <w:r w:rsidR="00170ADE">
        <w:t>men</w:t>
      </w:r>
      <w:r w:rsidR="00FF520D">
        <w:t xml:space="preserve"> </w:t>
      </w:r>
      <w:r w:rsidR="00892D3D">
        <w:t>and young people</w:t>
      </w:r>
      <w:r w:rsidR="001A2125">
        <w:t xml:space="preserve"> are under-represented among those seeking barring orders</w:t>
      </w:r>
      <w:r w:rsidR="0092412E">
        <w:t xml:space="preserve">. </w:t>
      </w:r>
      <w:r w:rsidR="00200EAB">
        <w:t xml:space="preserve">When compared to </w:t>
      </w:r>
      <w:r w:rsidR="00A3651F">
        <w:t xml:space="preserve">people </w:t>
      </w:r>
      <w:r w:rsidR="00A33638">
        <w:t xml:space="preserve">in the community </w:t>
      </w:r>
      <w:r w:rsidR="00A3651F">
        <w:t>engag</w:t>
      </w:r>
      <w:r w:rsidR="00700068">
        <w:t>ed</w:t>
      </w:r>
      <w:r w:rsidR="00A3651F">
        <w:t xml:space="preserve"> in risky gambling (i.e., Prevalence Survey</w:t>
      </w:r>
      <w:r w:rsidR="00A33638">
        <w:t xml:space="preserve"> data</w:t>
      </w:r>
      <w:r w:rsidR="00A3651F">
        <w:t>)</w:t>
      </w:r>
      <w:r w:rsidR="00E247EE">
        <w:t xml:space="preserve">, a similar story emerges. That is </w:t>
      </w:r>
      <w:r w:rsidR="00360DA8">
        <w:t>men and young people are under-represented among those seeking barring orde</w:t>
      </w:r>
      <w:r w:rsidR="00172226">
        <w:t>rs. P</w:t>
      </w:r>
      <w:r w:rsidR="00392A45">
        <w:t xml:space="preserve">eople in </w:t>
      </w:r>
      <w:r w:rsidR="00F773BA">
        <w:t>regional locations are over-represented</w:t>
      </w:r>
      <w:r w:rsidR="00172226">
        <w:t xml:space="preserve"> (and people in metropolitan regions under-represented)</w:t>
      </w:r>
      <w:r w:rsidR="00F773BA">
        <w:t xml:space="preserve"> among those seeking barring orders.</w:t>
      </w:r>
      <w:r w:rsidR="00260990">
        <w:t xml:space="preserve"> Unfortunately, it was not possible to determine whether those who sought voluntary barring orders were also participating in treatment.</w:t>
      </w:r>
    </w:p>
    <w:p w14:paraId="02098A1F" w14:textId="6547C474" w:rsidR="00895503" w:rsidRDefault="008C6E03" w:rsidP="00346467">
      <w:r>
        <w:t>These findings suggest t</w:t>
      </w:r>
      <w:r w:rsidR="00F1711D">
        <w:t>here may be some value</w:t>
      </w:r>
      <w:r w:rsidR="004D7836">
        <w:t xml:space="preserve"> in exploring the reasons </w:t>
      </w:r>
      <w:r w:rsidR="00644E59">
        <w:t xml:space="preserve">why help-seeking men and young people appear less willing to </w:t>
      </w:r>
      <w:r w:rsidR="00C31E51">
        <w:t>take up self-exclusion options</w:t>
      </w:r>
      <w:r w:rsidR="00153D30">
        <w:t>, and whether pa</w:t>
      </w:r>
      <w:r w:rsidR="0071197F">
        <w:t>i</w:t>
      </w:r>
      <w:r w:rsidR="00153D30">
        <w:t xml:space="preserve">ring treatment and voluntary barring is an effective intervention for these cohorts. There is also likely to be value in </w:t>
      </w:r>
      <w:r w:rsidR="00153D30">
        <w:lastRenderedPageBreak/>
        <w:t xml:space="preserve">exploring why </w:t>
      </w:r>
      <w:r w:rsidR="00957B33">
        <w:t>gamblers in regional locations are</w:t>
      </w:r>
      <w:r w:rsidR="004705D7">
        <w:t xml:space="preserve"> over-represented among those choosing </w:t>
      </w:r>
      <w:r w:rsidR="00BA3114">
        <w:t>self-exclusion options</w:t>
      </w:r>
      <w:r w:rsidR="004705D7">
        <w:t>.</w:t>
      </w:r>
      <w:r w:rsidR="002C033C">
        <w:t xml:space="preserve"> This information would help </w:t>
      </w:r>
      <w:r w:rsidR="00321914">
        <w:t>ensure</w:t>
      </w:r>
      <w:r w:rsidR="00EA61CE">
        <w:t xml:space="preserve"> voluntary barring is used to maximum effect within the gambling help service system.</w:t>
      </w:r>
    </w:p>
    <w:p w14:paraId="0DB02C2E" w14:textId="1D30852E" w:rsidR="0053636B" w:rsidRDefault="00481043" w:rsidP="0053636B">
      <w:pPr>
        <w:pStyle w:val="Heading3"/>
      </w:pPr>
      <w:r>
        <w:t>Alternative sources of</w:t>
      </w:r>
      <w:r w:rsidR="0053636B">
        <w:t xml:space="preserve"> help </w:t>
      </w:r>
      <w:r>
        <w:t>and support</w:t>
      </w:r>
    </w:p>
    <w:p w14:paraId="5694F3DC" w14:textId="160A825E" w:rsidR="00481043" w:rsidRDefault="00DD016E" w:rsidP="00481043">
      <w:r>
        <w:t xml:space="preserve">Participants in the </w:t>
      </w:r>
      <w:r w:rsidR="00813E4F">
        <w:t xml:space="preserve">Prevalence </w:t>
      </w:r>
      <w:r>
        <w:t xml:space="preserve">Survey </w:t>
      </w:r>
      <w:r w:rsidR="00CE1B5A">
        <w:t>who reported</w:t>
      </w:r>
      <w:r w:rsidR="00641E54">
        <w:t xml:space="preserve"> having ever sought formal help for their gambling were asked which support services they had used. Over a third had accessed the Gambling Helpline (36%), and a </w:t>
      </w:r>
      <w:r w:rsidR="001D4920">
        <w:t>fifth had used Gamblers or Pokies Anonymous (21%).</w:t>
      </w:r>
      <w:r w:rsidR="00800C77">
        <w:t xml:space="preserve"> </w:t>
      </w:r>
    </w:p>
    <w:p w14:paraId="2C472AB0" w14:textId="380307EC" w:rsidR="0053636B" w:rsidRPr="0053636B" w:rsidRDefault="00316F3D" w:rsidP="0053636B">
      <w:r>
        <w:t>Further analysis by the University of Adelaide revealed that those who phoned the Gambling Helpline were more likely to be working</w:t>
      </w:r>
      <w:r w:rsidR="00D741C7">
        <w:t xml:space="preserve"> and in a relationship, whereas those who participated in Gamblers Anonymous tended to be older, </w:t>
      </w:r>
      <w:r w:rsidR="00E42D56">
        <w:t>single,</w:t>
      </w:r>
      <w:r w:rsidR="00D741C7">
        <w:t xml:space="preserve"> or divorced, and less likely to be in paid employment.</w:t>
      </w:r>
    </w:p>
    <w:p w14:paraId="278A6E77" w14:textId="02BDBED8" w:rsidR="002332A5" w:rsidRDefault="004F034F" w:rsidP="00444677">
      <w:pPr>
        <w:pStyle w:val="Heading2"/>
      </w:pPr>
      <w:r>
        <w:t>Wh</w:t>
      </w:r>
      <w:r w:rsidR="00BE62EE">
        <w:t>at</w:t>
      </w:r>
      <w:r>
        <w:t xml:space="preserve"> opportunities</w:t>
      </w:r>
      <w:r w:rsidR="00BE62EE">
        <w:t xml:space="preserve"> are ther</w:t>
      </w:r>
      <w:r w:rsidR="00AF54F9">
        <w:t>e</w:t>
      </w:r>
      <w:r>
        <w:t xml:space="preserve"> to increase service uptake?</w:t>
      </w:r>
    </w:p>
    <w:p w14:paraId="7C965752" w14:textId="1E41D7F1" w:rsidR="00E20E04" w:rsidRDefault="00BC5A2D" w:rsidP="00BC5A2D">
      <w:r>
        <w:t xml:space="preserve">The University of Adelaide concluded that </w:t>
      </w:r>
      <w:r w:rsidR="00FD6E31">
        <w:t>the characteristics of people gambling at risky levels in the community are broadly similar to those who access gambling help services.</w:t>
      </w:r>
      <w:r w:rsidR="00E4519E">
        <w:t xml:space="preserve"> </w:t>
      </w:r>
    </w:p>
    <w:p w14:paraId="62670D61" w14:textId="2F89A019" w:rsidR="0042235C" w:rsidRDefault="00FA414D" w:rsidP="0063690F">
      <w:r>
        <w:t xml:space="preserve">There are, however, some cohorts who appear to experience barriers to help-seeking and who </w:t>
      </w:r>
      <w:r w:rsidR="006A19E8">
        <w:t xml:space="preserve">may benefit from targeted strategies to increase </w:t>
      </w:r>
      <w:r w:rsidR="00044ADA">
        <w:t>service uptake</w:t>
      </w:r>
      <w:r w:rsidR="006A19E8">
        <w:t xml:space="preserve">. </w:t>
      </w:r>
      <w:r w:rsidR="00E42D56">
        <w:t>Younger</w:t>
      </w:r>
      <w:r w:rsidR="00370F77">
        <w:t xml:space="preserve"> (18-24</w:t>
      </w:r>
      <w:r w:rsidR="00AC6DF4">
        <w:t xml:space="preserve">) and older (65+) </w:t>
      </w:r>
      <w:r w:rsidR="00BF2584">
        <w:t>age-groups</w:t>
      </w:r>
      <w:r w:rsidR="00AC6DF4">
        <w:t xml:space="preserve">, </w:t>
      </w:r>
      <w:r w:rsidR="00AD1252">
        <w:t xml:space="preserve">people who are </w:t>
      </w:r>
      <w:r w:rsidR="00AC6DF4">
        <w:t xml:space="preserve">employed </w:t>
      </w:r>
      <w:r w:rsidR="00AD1252">
        <w:t>or</w:t>
      </w:r>
      <w:r w:rsidR="00AC6DF4">
        <w:t xml:space="preserve"> retire</w:t>
      </w:r>
      <w:r w:rsidR="00AD1252">
        <w:t>d</w:t>
      </w:r>
      <w:r w:rsidR="00AC6DF4">
        <w:t>, and</w:t>
      </w:r>
      <w:r w:rsidR="00BF2584">
        <w:t xml:space="preserve"> people who are in a relationship ar</w:t>
      </w:r>
      <w:r w:rsidR="00AC6DF4">
        <w:t>e under</w:t>
      </w:r>
      <w:r w:rsidR="00044ADA">
        <w:t>-</w:t>
      </w:r>
      <w:r w:rsidR="00AC6DF4">
        <w:t xml:space="preserve">represented </w:t>
      </w:r>
      <w:r w:rsidR="00BF2584">
        <w:t xml:space="preserve">among </w:t>
      </w:r>
      <w:r w:rsidR="003E7D2A">
        <w:t xml:space="preserve">those seeking </w:t>
      </w:r>
      <w:r w:rsidR="000B0BD0">
        <w:t xml:space="preserve">support from </w:t>
      </w:r>
      <w:r w:rsidR="00E42D56">
        <w:t>face-to-face</w:t>
      </w:r>
      <w:r w:rsidR="000B0BD0">
        <w:t xml:space="preserve"> gambling help services</w:t>
      </w:r>
      <w:r w:rsidR="00640DB6">
        <w:t>.</w:t>
      </w:r>
      <w:r w:rsidR="000B0BD0">
        <w:t xml:space="preserve"> </w:t>
      </w:r>
      <w:r w:rsidR="002658BD">
        <w:t xml:space="preserve">Note that responses to </w:t>
      </w:r>
      <w:r w:rsidR="000B0BD0">
        <w:t>the Prevalence Survey</w:t>
      </w:r>
      <w:r w:rsidR="002658BD">
        <w:t xml:space="preserve"> suggest that </w:t>
      </w:r>
      <w:r w:rsidR="0063690F">
        <w:t xml:space="preserve">people who are employed or in a relationship may be more likely to seek help from </w:t>
      </w:r>
      <w:r w:rsidR="002658BD">
        <w:t>the Gambling Helpline</w:t>
      </w:r>
      <w:r w:rsidR="0063690F">
        <w:t>.</w:t>
      </w:r>
    </w:p>
    <w:p w14:paraId="23410FE2" w14:textId="567BC809" w:rsidR="007501FD" w:rsidRDefault="00D41A51" w:rsidP="00B422E2">
      <w:r>
        <w:t xml:space="preserve">Loy et al (2018) </w:t>
      </w:r>
      <w:r w:rsidR="00891C68">
        <w:t xml:space="preserve">report that the reasons for not seeking help are complex and involve </w:t>
      </w:r>
      <w:r w:rsidR="006176F6">
        <w:t xml:space="preserve">both internal and external </w:t>
      </w:r>
      <w:r w:rsidR="00AF0EA0">
        <w:t>aspects.</w:t>
      </w:r>
      <w:r w:rsidR="000261F7">
        <w:t xml:space="preserve"> </w:t>
      </w:r>
      <w:r w:rsidR="002A40CE">
        <w:t>Compared to help-seekers, n</w:t>
      </w:r>
      <w:r w:rsidR="006742E8">
        <w:t>on-help seekers</w:t>
      </w:r>
      <w:r w:rsidR="00CE2B3C">
        <w:t xml:space="preserve"> </w:t>
      </w:r>
      <w:r w:rsidR="00371043">
        <w:t>a</w:t>
      </w:r>
      <w:r w:rsidR="00CE2B3C">
        <w:t xml:space="preserve">re more likely to report </w:t>
      </w:r>
      <w:r w:rsidR="008B4BF3">
        <w:t xml:space="preserve">experiencing </w:t>
      </w:r>
      <w:r w:rsidR="006742E8">
        <w:t>e</w:t>
      </w:r>
      <w:r w:rsidR="00A3481B">
        <w:t xml:space="preserve">xternal </w:t>
      </w:r>
      <w:r w:rsidR="008B4BF3">
        <w:t>barriers to treatment,</w:t>
      </w:r>
      <w:r w:rsidR="007C2202">
        <w:t xml:space="preserve"> </w:t>
      </w:r>
      <w:r w:rsidR="00322754">
        <w:t xml:space="preserve">such as </w:t>
      </w:r>
      <w:r w:rsidR="00F342DE">
        <w:t>cost, access, waiting time and distrust in treatment quality</w:t>
      </w:r>
      <w:r w:rsidR="008B4BF3">
        <w:t xml:space="preserve">, as well as internal barriers such as stigma, </w:t>
      </w:r>
      <w:r w:rsidR="00E42D56">
        <w:t>shame,</w:t>
      </w:r>
      <w:r w:rsidR="008B4BF3">
        <w:t xml:space="preserve"> and problem denial</w:t>
      </w:r>
      <w:r w:rsidR="00F342DE">
        <w:t xml:space="preserve"> (Loy et al., 2018).</w:t>
      </w:r>
      <w:r w:rsidR="006742E8">
        <w:t xml:space="preserve"> </w:t>
      </w:r>
      <w:r w:rsidR="002865FC">
        <w:t xml:space="preserve">Males, in particular, are more concerned with shame, </w:t>
      </w:r>
      <w:r w:rsidR="00E42D56">
        <w:t>pride,</w:t>
      </w:r>
      <w:r w:rsidR="002865FC">
        <w:t xml:space="preserve"> and stigma, while women are more likely to delay help seeking because of shame (Loy et al., 2018). </w:t>
      </w:r>
    </w:p>
    <w:p w14:paraId="351BC6DB" w14:textId="3913959D" w:rsidR="009109E2" w:rsidRDefault="0079001C" w:rsidP="00B422E2">
      <w:bookmarkStart w:id="1" w:name="_Hlk69112519"/>
      <w:r>
        <w:t xml:space="preserve">Brown and Russell (2019) report that </w:t>
      </w:r>
      <w:r w:rsidR="00527C2F">
        <w:t xml:space="preserve">gamblers </w:t>
      </w:r>
      <w:r w:rsidR="001F2D6A">
        <w:t xml:space="preserve">often </w:t>
      </w:r>
      <w:r w:rsidR="00527C2F">
        <w:t xml:space="preserve">delay help-seeking </w:t>
      </w:r>
      <w:r w:rsidR="001F2D6A">
        <w:t xml:space="preserve">due to expectations of negative judgement </w:t>
      </w:r>
      <w:r w:rsidR="004A6123">
        <w:t>from the community</w:t>
      </w:r>
      <w:bookmarkEnd w:id="1"/>
      <w:r w:rsidR="004A6123">
        <w:t xml:space="preserve">. </w:t>
      </w:r>
      <w:r w:rsidR="007B13E0">
        <w:t>S</w:t>
      </w:r>
      <w:r w:rsidR="00FF2131">
        <w:t xml:space="preserve">urveys have revealed </w:t>
      </w:r>
      <w:r w:rsidR="007B13E0">
        <w:t>limited understanding in the community of addicted gambling and the experience of gambling harm.</w:t>
      </w:r>
      <w:r w:rsidR="002E7977">
        <w:t xml:space="preserve"> </w:t>
      </w:r>
      <w:r w:rsidR="007B13E0">
        <w:t>People gambling at risky levels</w:t>
      </w:r>
      <w:r w:rsidR="002E7977">
        <w:t xml:space="preserve"> </w:t>
      </w:r>
      <w:r w:rsidR="00356FBC">
        <w:t xml:space="preserve">are often perceived to be in control of their behaviour and selfish, greedy, </w:t>
      </w:r>
      <w:r w:rsidR="00E42D56">
        <w:t>impulsive,</w:t>
      </w:r>
      <w:r w:rsidR="00356FBC">
        <w:t xml:space="preserve"> and irresponsible (Brown &amp; Russell, 2019; Loy et al., 2018).</w:t>
      </w:r>
      <w:r w:rsidR="002E7977">
        <w:t xml:space="preserve"> This </w:t>
      </w:r>
      <w:r w:rsidR="00562A8A">
        <w:t xml:space="preserve">community response is different from that shown to people with </w:t>
      </w:r>
      <w:r w:rsidR="0083101C">
        <w:t xml:space="preserve">visible addictions (e.g., </w:t>
      </w:r>
      <w:r w:rsidR="00562A8A">
        <w:t xml:space="preserve">alcohol or drug </w:t>
      </w:r>
      <w:r w:rsidR="0083101C">
        <w:t>problems) and contributes to the stigma, shame and secrecy displayed by gamblers (Loy et al., 2018).</w:t>
      </w:r>
    </w:p>
    <w:p w14:paraId="50CB4553" w14:textId="4965A373" w:rsidR="00A23EC6" w:rsidRDefault="00EC0AA6" w:rsidP="0063690F">
      <w:bookmarkStart w:id="2" w:name="_Hlk69112568"/>
      <w:r>
        <w:t>Informal help</w:t>
      </w:r>
      <w:r w:rsidR="007E44AD">
        <w:t xml:space="preserve">, such as </w:t>
      </w:r>
      <w:r w:rsidR="0028101C">
        <w:t>talking to family,</w:t>
      </w:r>
      <w:r w:rsidR="002C5CCA">
        <w:t xml:space="preserve"> a</w:t>
      </w:r>
      <w:r w:rsidR="0028101C">
        <w:t xml:space="preserve"> spouse or friends, reading books or pamphlets</w:t>
      </w:r>
      <w:r w:rsidR="00464CB2">
        <w:t xml:space="preserve">, using video or audio </w:t>
      </w:r>
      <w:r w:rsidR="00E42D56">
        <w:t>tapes,</w:t>
      </w:r>
      <w:r w:rsidR="00464CB2">
        <w:t xml:space="preserve"> or participating in informal self-help or support groups</w:t>
      </w:r>
      <w:r w:rsidR="007E44AD">
        <w:t>, is typically considered to present fewer barriers than formal help</w:t>
      </w:r>
      <w:bookmarkEnd w:id="2"/>
      <w:r w:rsidR="004F508D">
        <w:t xml:space="preserve"> (Loy et al., 2018)</w:t>
      </w:r>
      <w:r w:rsidR="00A87861">
        <w:t>.</w:t>
      </w:r>
      <w:r w:rsidR="004F508D">
        <w:t xml:space="preserve"> </w:t>
      </w:r>
      <w:r w:rsidR="003A3E96">
        <w:t>M</w:t>
      </w:r>
      <w:r w:rsidR="004F508D">
        <w:t>ore gamblers report having sought informal help</w:t>
      </w:r>
      <w:r w:rsidR="003A3E96">
        <w:t xml:space="preserve"> than report seeking formal help</w:t>
      </w:r>
      <w:r w:rsidR="004F508D">
        <w:t>.</w:t>
      </w:r>
      <w:r w:rsidR="001A2EE2">
        <w:t xml:space="preserve"> Informal help is </w:t>
      </w:r>
      <w:r w:rsidR="00A33DD9">
        <w:t xml:space="preserve">typically </w:t>
      </w:r>
      <w:r w:rsidR="001A2EE2">
        <w:t>not</w:t>
      </w:r>
      <w:r w:rsidR="007D56BD">
        <w:t xml:space="preserve"> considered</w:t>
      </w:r>
      <w:r w:rsidR="001A2EE2">
        <w:t xml:space="preserve"> a substitute for formal help but can be a useful </w:t>
      </w:r>
      <w:r w:rsidR="00A33DD9">
        <w:t>mechanism for enhancing motivation to seek treatment.</w:t>
      </w:r>
      <w:r w:rsidR="00AE18ED">
        <w:t xml:space="preserve"> Informal help from significant others in a gambler’s life is likely to be particularly important (Loy et al., 2018).</w:t>
      </w:r>
    </w:p>
    <w:p w14:paraId="2AB65169" w14:textId="7A20C53A" w:rsidR="00861B15" w:rsidRDefault="00861B15" w:rsidP="0063690F">
      <w:bookmarkStart w:id="3" w:name="_Hlk69112740"/>
      <w:r w:rsidRPr="009362A9">
        <w:t xml:space="preserve">Loy and colleagues </w:t>
      </w:r>
      <w:r w:rsidR="00365F0A" w:rsidRPr="009362A9">
        <w:t xml:space="preserve">(2018) identify </w:t>
      </w:r>
      <w:r w:rsidR="00D9068C">
        <w:t>five</w:t>
      </w:r>
      <w:r w:rsidR="00287E70" w:rsidRPr="009362A9">
        <w:t xml:space="preserve"> key activities needed to encourage help-seeking</w:t>
      </w:r>
      <w:r w:rsidR="009362A9" w:rsidRPr="009362A9">
        <w:t xml:space="preserve"> among people experiencing gambling harm</w:t>
      </w:r>
      <w:r w:rsidR="00287E70" w:rsidRPr="009362A9">
        <w:t>:</w:t>
      </w:r>
    </w:p>
    <w:p w14:paraId="7EF1C7D0" w14:textId="6305D83D" w:rsidR="00287E70" w:rsidRDefault="002F7871" w:rsidP="00287E70">
      <w:pPr>
        <w:pStyle w:val="ListParagraph"/>
        <w:numPr>
          <w:ilvl w:val="0"/>
          <w:numId w:val="5"/>
        </w:numPr>
      </w:pPr>
      <w:r>
        <w:t>enhance capability among health professionals to recognise gambling problems</w:t>
      </w:r>
      <w:r w:rsidR="00472436">
        <w:t>;</w:t>
      </w:r>
    </w:p>
    <w:p w14:paraId="72459025" w14:textId="7D78765E" w:rsidR="00472436" w:rsidRDefault="00472436" w:rsidP="00287E70">
      <w:pPr>
        <w:pStyle w:val="ListParagraph"/>
        <w:numPr>
          <w:ilvl w:val="0"/>
          <w:numId w:val="5"/>
        </w:numPr>
      </w:pPr>
      <w:r>
        <w:lastRenderedPageBreak/>
        <w:t>raise awareness and accessibility</w:t>
      </w:r>
      <w:r w:rsidR="001E7649">
        <w:t xml:space="preserve"> (e.g., </w:t>
      </w:r>
      <w:r w:rsidR="002D62CA">
        <w:t>time, day, location of treatment)</w:t>
      </w:r>
      <w:r>
        <w:t xml:space="preserve"> of he</w:t>
      </w:r>
      <w:r w:rsidR="00DF582E">
        <w:t>lp available</w:t>
      </w:r>
      <w:r w:rsidR="002D62CA">
        <w:t xml:space="preserve"> to lower structural barriers to help seeking;</w:t>
      </w:r>
    </w:p>
    <w:p w14:paraId="1161F0FB" w14:textId="20D90B3C" w:rsidR="002D62CA" w:rsidRDefault="002144FA" w:rsidP="00287E70">
      <w:pPr>
        <w:pStyle w:val="ListParagraph"/>
        <w:numPr>
          <w:ilvl w:val="0"/>
          <w:numId w:val="5"/>
        </w:numPr>
      </w:pPr>
      <w:r>
        <w:t xml:space="preserve">work to address stigma and negative stereotypes held </w:t>
      </w:r>
      <w:r w:rsidR="00FB5E43">
        <w:t>by the community towards gamblers;</w:t>
      </w:r>
    </w:p>
    <w:p w14:paraId="4EC9B80A" w14:textId="59CF8A11" w:rsidR="00FB5E43" w:rsidRDefault="00BE04FB" w:rsidP="00287E70">
      <w:pPr>
        <w:pStyle w:val="ListParagraph"/>
        <w:numPr>
          <w:ilvl w:val="0"/>
          <w:numId w:val="5"/>
        </w:numPr>
      </w:pPr>
      <w:r>
        <w:t xml:space="preserve">increase informal and easily accessible </w:t>
      </w:r>
      <w:r w:rsidR="00EF26FD">
        <w:t>interventions that support natural recovery;</w:t>
      </w:r>
      <w:r w:rsidR="00CB3F85">
        <w:t xml:space="preserve"> and</w:t>
      </w:r>
    </w:p>
    <w:p w14:paraId="69A69AE8" w14:textId="28E26FD5" w:rsidR="00CB3F85" w:rsidRDefault="00CB3F85" w:rsidP="00287E70">
      <w:pPr>
        <w:pStyle w:val="ListParagraph"/>
        <w:numPr>
          <w:ilvl w:val="0"/>
          <w:numId w:val="5"/>
        </w:numPr>
      </w:pPr>
      <w:r>
        <w:t xml:space="preserve">conduct further research exploring particularly the </w:t>
      </w:r>
      <w:r w:rsidR="006D5D59">
        <w:t>barriers to help-seeking among gamblers compared to people with other addictive behaviours.</w:t>
      </w:r>
      <w:bookmarkEnd w:id="3"/>
    </w:p>
    <w:p w14:paraId="11E8F694" w14:textId="77777777" w:rsidR="00571A6E" w:rsidRDefault="00571A6E" w:rsidP="00571A6E">
      <w:pPr>
        <w:pStyle w:val="ListParagraph"/>
      </w:pPr>
    </w:p>
    <w:p w14:paraId="77E74860" w14:textId="77777777" w:rsidR="00AE2C9E" w:rsidRDefault="0042235C" w:rsidP="00AE2C9E">
      <w:pPr>
        <w:keepNext/>
      </w:pPr>
      <w:r w:rsidRPr="0042235C">
        <w:rPr>
          <w:noProof/>
        </w:rPr>
        <w:t xml:space="preserve"> </w:t>
      </w:r>
      <w:r>
        <w:rPr>
          <w:noProof/>
        </w:rPr>
        <w:drawing>
          <wp:inline distT="0" distB="0" distL="0" distR="0" wp14:anchorId="37A9A43B" wp14:editId="020E31F2">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ECEB832" w14:textId="55813076" w:rsidR="002658BD" w:rsidRPr="0053636B" w:rsidRDefault="00AE2C9E" w:rsidP="00AE2C9E">
      <w:pPr>
        <w:pStyle w:val="Caption"/>
      </w:pPr>
      <w:r>
        <w:t xml:space="preserve">Figure </w:t>
      </w:r>
      <w:fldSimple w:instr=" SEQ Figure \* ARABIC ">
        <w:r w:rsidR="007268D9">
          <w:rPr>
            <w:noProof/>
          </w:rPr>
          <w:t>2</w:t>
        </w:r>
      </w:fldSimple>
      <w:r>
        <w:t xml:space="preserve"> </w:t>
      </w:r>
      <w:r w:rsidRPr="00FA10B7">
        <w:t>Demographic characteristics of help-seekers and general population gambling at risky levels</w:t>
      </w:r>
    </w:p>
    <w:p w14:paraId="7D27F93C" w14:textId="46A745B1" w:rsidR="00844733" w:rsidRDefault="00844733" w:rsidP="00844733">
      <w:pPr>
        <w:pStyle w:val="Heading1"/>
      </w:pPr>
      <w:r>
        <w:t>Limitations</w:t>
      </w:r>
    </w:p>
    <w:p w14:paraId="1A29635B" w14:textId="13F12A46" w:rsidR="00844733" w:rsidRDefault="009A7E3A" w:rsidP="00844733">
      <w:r>
        <w:t>There are some limitations to this analysis</w:t>
      </w:r>
      <w:r w:rsidR="002442E1">
        <w:t xml:space="preserve"> which </w:t>
      </w:r>
      <w:r w:rsidR="004437D4">
        <w:t xml:space="preserve">mean there are important gaps in our knowledge regarding </w:t>
      </w:r>
      <w:r w:rsidR="00BA017D">
        <w:t xml:space="preserve">barriers to and facilitators of </w:t>
      </w:r>
      <w:r w:rsidR="002E7DFD">
        <w:t>service uptake among South Australian cohorts experiencing gambling harm</w:t>
      </w:r>
      <w:r w:rsidR="004437D4">
        <w:t>.</w:t>
      </w:r>
    </w:p>
    <w:p w14:paraId="6472A7E5" w14:textId="4C764E34" w:rsidR="007C357B" w:rsidRDefault="009F1B9E" w:rsidP="00844733">
      <w:r>
        <w:t xml:space="preserve">The available data did not allow for </w:t>
      </w:r>
      <w:r w:rsidR="00E769D6">
        <w:t xml:space="preserve">comparisons across </w:t>
      </w:r>
      <w:r w:rsidR="00A21996">
        <w:t>some</w:t>
      </w:r>
      <w:r w:rsidR="00E769D6">
        <w:t xml:space="preserve"> demographic characteristics </w:t>
      </w:r>
      <w:r w:rsidR="00A21996">
        <w:t xml:space="preserve">known to increase an individual’s risk of experiencing gambling harm. </w:t>
      </w:r>
      <w:r w:rsidR="008B676E">
        <w:t>For example</w:t>
      </w:r>
      <w:r w:rsidR="00B262DE">
        <w:t xml:space="preserve">, </w:t>
      </w:r>
      <w:r w:rsidR="00B262DE" w:rsidRPr="00B262DE">
        <w:t>Aboriginal people</w:t>
      </w:r>
      <w:r w:rsidR="004E6755">
        <w:t xml:space="preserve"> </w:t>
      </w:r>
      <w:r w:rsidR="00B262DE" w:rsidRPr="00B262DE">
        <w:t>were</w:t>
      </w:r>
      <w:r w:rsidR="003807B8">
        <w:t xml:space="preserve"> </w:t>
      </w:r>
      <w:r w:rsidR="00B262DE" w:rsidRPr="00B262DE">
        <w:t>over-represented in the service data but</w:t>
      </w:r>
      <w:r w:rsidR="003807B8">
        <w:t xml:space="preserve"> </w:t>
      </w:r>
      <w:r w:rsidR="00B262DE" w:rsidRPr="00B262DE">
        <w:t xml:space="preserve">under-represented </w:t>
      </w:r>
      <w:r w:rsidR="008248DE">
        <w:t>in the Prevalence Survey making it difficult to</w:t>
      </w:r>
      <w:r w:rsidR="00B81CA0">
        <w:t xml:space="preserve"> conclude whether </w:t>
      </w:r>
      <w:r w:rsidR="00C40A12">
        <w:t xml:space="preserve">service uptake reflects </w:t>
      </w:r>
      <w:r w:rsidR="00B81CA0">
        <w:t xml:space="preserve">community </w:t>
      </w:r>
      <w:r w:rsidR="00C40A12">
        <w:t>need</w:t>
      </w:r>
      <w:r w:rsidR="00B81CA0">
        <w:t xml:space="preserve">. Similarly, </w:t>
      </w:r>
      <w:r w:rsidR="00527E98">
        <w:t xml:space="preserve">the available data did not </w:t>
      </w:r>
      <w:r w:rsidR="00265559">
        <w:t xml:space="preserve">accurately </w:t>
      </w:r>
      <w:r w:rsidR="00527E98">
        <w:t xml:space="preserve">capture </w:t>
      </w:r>
      <w:r w:rsidR="00265559">
        <w:t>the experience of</w:t>
      </w:r>
      <w:r w:rsidR="00527E98">
        <w:t xml:space="preserve"> people from culturally and linguistically diverse backgrounds</w:t>
      </w:r>
      <w:r w:rsidR="001314C8">
        <w:t xml:space="preserve"> who research suggests are at higher risk of experiencing gambling harm compared to the general population</w:t>
      </w:r>
      <w:r w:rsidR="00527E98">
        <w:t>.</w:t>
      </w:r>
    </w:p>
    <w:p w14:paraId="4AC48D0F" w14:textId="0FA9BA65" w:rsidR="009C0AA0" w:rsidRDefault="00A91867" w:rsidP="00D16A0A">
      <w:r>
        <w:t>The available data could not provide insights into who remains</w:t>
      </w:r>
      <w:r w:rsidR="004D3141">
        <w:t xml:space="preserve"> in treatment beyond first assessment</w:t>
      </w:r>
      <w:r w:rsidR="00285C81">
        <w:t xml:space="preserve"> (</w:t>
      </w:r>
      <w:r w:rsidR="00E42D56">
        <w:t>i.e.,</w:t>
      </w:r>
      <w:r w:rsidR="00285C81">
        <w:t xml:space="preserve"> dropout</w:t>
      </w:r>
      <w:r w:rsidR="00D81381">
        <w:t>s</w:t>
      </w:r>
      <w:r w:rsidR="00285C81">
        <w:t>)</w:t>
      </w:r>
      <w:r w:rsidR="002C3269">
        <w:t>.</w:t>
      </w:r>
      <w:r w:rsidR="003E3A6A">
        <w:t xml:space="preserve"> Reasons for leaving a service are likely to be varied and unique to each individual. However, understanding </w:t>
      </w:r>
      <w:r w:rsidR="00341D08">
        <w:t xml:space="preserve">who does not continue with treatment and the reasons why is important for ensuring </w:t>
      </w:r>
      <w:r w:rsidR="00173389">
        <w:t>services remain fit for purpose and capable of addressing clients’ treatment need</w:t>
      </w:r>
      <w:r w:rsidR="00D81381">
        <w:t>s</w:t>
      </w:r>
      <w:r w:rsidR="00173389">
        <w:t>.</w:t>
      </w:r>
      <w:r w:rsidR="002C3269">
        <w:t xml:space="preserve"> </w:t>
      </w:r>
    </w:p>
    <w:p w14:paraId="34DE886C" w14:textId="1903FA3A" w:rsidR="00D16A0A" w:rsidRDefault="00D81381" w:rsidP="00D16A0A">
      <w:r>
        <w:t xml:space="preserve">Similarly, the data </w:t>
      </w:r>
      <w:r w:rsidR="002C3269">
        <w:t xml:space="preserve">could not show </w:t>
      </w:r>
      <w:r w:rsidR="008B0B60">
        <w:t xml:space="preserve">what proportion of people currently accessing the help service system </w:t>
      </w:r>
      <w:r w:rsidR="002C3269">
        <w:t xml:space="preserve">had previously sought help through </w:t>
      </w:r>
      <w:r w:rsidR="009C0AA0">
        <w:t>the same or other help services</w:t>
      </w:r>
      <w:r w:rsidR="00E20713">
        <w:t xml:space="preserve"> (i.e., relapse).</w:t>
      </w:r>
      <w:r w:rsidR="00031AC9">
        <w:t xml:space="preserve"> </w:t>
      </w:r>
      <w:r w:rsidR="00EF3D0F">
        <w:t>Abbott (2020) argues that</w:t>
      </w:r>
      <w:r w:rsidR="00582392">
        <w:t xml:space="preserve"> the plateauing of </w:t>
      </w:r>
      <w:r w:rsidR="00236AAF">
        <w:t>problem gambling prevalence rate</w:t>
      </w:r>
      <w:r w:rsidR="00622A39">
        <w:t>s</w:t>
      </w:r>
      <w:r w:rsidR="00236AAF">
        <w:t xml:space="preserve"> despite</w:t>
      </w:r>
      <w:r w:rsidR="00371747">
        <w:t xml:space="preserve"> general</w:t>
      </w:r>
      <w:r w:rsidR="00236AAF">
        <w:t xml:space="preserve"> declin</w:t>
      </w:r>
      <w:r w:rsidR="00371747">
        <w:t>es in</w:t>
      </w:r>
      <w:r w:rsidR="00DA0422">
        <w:t xml:space="preserve"> </w:t>
      </w:r>
      <w:r w:rsidR="00DA0422">
        <w:lastRenderedPageBreak/>
        <w:t>gambling</w:t>
      </w:r>
      <w:r w:rsidR="00371747">
        <w:t xml:space="preserve"> within the community</w:t>
      </w:r>
      <w:r w:rsidR="00DA0422">
        <w:t xml:space="preserve"> may be due in part to </w:t>
      </w:r>
      <w:r w:rsidR="00371747">
        <w:t>relapse.</w:t>
      </w:r>
      <w:r w:rsidR="00C03316">
        <w:t xml:space="preserve"> He cites recent research which shows that over a </w:t>
      </w:r>
      <w:r w:rsidR="00E42D56">
        <w:t>one-to-three-year</w:t>
      </w:r>
      <w:r w:rsidR="00BF2AE5">
        <w:t xml:space="preserve"> period, at least half of ‘new’ problem gamblers</w:t>
      </w:r>
      <w:r w:rsidR="00E738E2">
        <w:t xml:space="preserve"> are past cases relapsing.</w:t>
      </w:r>
      <w:r w:rsidR="00703920">
        <w:t xml:space="preserve"> </w:t>
      </w:r>
      <w:bookmarkStart w:id="4" w:name="_Hlk72155183"/>
      <w:r w:rsidR="00703920">
        <w:t>This points to the need for a help service system that is</w:t>
      </w:r>
      <w:r w:rsidR="000C3CB5">
        <w:t xml:space="preserve"> equipped to enhance recovery, prolong </w:t>
      </w:r>
      <w:r w:rsidR="00E42D56">
        <w:t>remission,</w:t>
      </w:r>
      <w:r w:rsidR="000C3CB5">
        <w:t xml:space="preserve"> and prevent relapse if we are to see reductions</w:t>
      </w:r>
      <w:r w:rsidR="00BC5923">
        <w:t xml:space="preserve"> in gambling harm at a population level.</w:t>
      </w:r>
      <w:bookmarkEnd w:id="4"/>
      <w:r w:rsidR="00BC5923">
        <w:t xml:space="preserve"> The first step in building this system </w:t>
      </w:r>
      <w:r w:rsidR="00D57241">
        <w:t xml:space="preserve">will be improving our understanding of the who, why, </w:t>
      </w:r>
      <w:r w:rsidR="00E42D56">
        <w:t>when,</w:t>
      </w:r>
      <w:r w:rsidR="00D57241">
        <w:t xml:space="preserve"> and how</w:t>
      </w:r>
      <w:r w:rsidR="0067029E">
        <w:t xml:space="preserve"> of relapse among South Australian gambling help service system clients.</w:t>
      </w:r>
    </w:p>
    <w:p w14:paraId="51662DD4" w14:textId="72498734" w:rsidR="00031AC9" w:rsidRDefault="00031AC9" w:rsidP="00031AC9">
      <w:pPr>
        <w:pStyle w:val="Heading1"/>
      </w:pPr>
      <w:r>
        <w:t>Conclusion</w:t>
      </w:r>
      <w:r w:rsidR="00AE3160">
        <w:t>s</w:t>
      </w:r>
    </w:p>
    <w:p w14:paraId="4F46A8D7" w14:textId="4374DE48" w:rsidR="00B62E67" w:rsidRDefault="000F70E6" w:rsidP="00981C5A">
      <w:r>
        <w:t>Those p</w:t>
      </w:r>
      <w:r w:rsidR="00D54158">
        <w:t xml:space="preserve">eople accessing </w:t>
      </w:r>
      <w:r w:rsidR="00F95E82">
        <w:t>face to face gambling help services in South Australia are broadly similar to tho</w:t>
      </w:r>
      <w:r w:rsidR="00B62E67">
        <w:t xml:space="preserve">se thought to be </w:t>
      </w:r>
      <w:r w:rsidR="00106FDF">
        <w:t xml:space="preserve">engaging in risky gambling </w:t>
      </w:r>
      <w:r w:rsidR="00713DD0">
        <w:t xml:space="preserve">in the community. </w:t>
      </w:r>
      <w:r w:rsidR="00421EC9">
        <w:t xml:space="preserve">This suggests the current system is </w:t>
      </w:r>
      <w:r w:rsidR="00D9171B">
        <w:t xml:space="preserve">accessible </w:t>
      </w:r>
      <w:r w:rsidR="00713DD0">
        <w:t xml:space="preserve">to </w:t>
      </w:r>
      <w:r w:rsidR="00C34217">
        <w:t>high-risk gamblers</w:t>
      </w:r>
      <w:r w:rsidR="00713DD0">
        <w:t xml:space="preserve"> </w:t>
      </w:r>
      <w:r w:rsidR="00106FDF">
        <w:t xml:space="preserve">and </w:t>
      </w:r>
      <w:r w:rsidR="00D9171B">
        <w:t xml:space="preserve">therefore </w:t>
      </w:r>
      <w:r w:rsidR="00106FDF">
        <w:t>an important part of efforts to minimise gambling harm</w:t>
      </w:r>
      <w:r w:rsidR="00713DD0">
        <w:t xml:space="preserve"> in the State</w:t>
      </w:r>
      <w:r w:rsidR="00106FDF">
        <w:t>.</w:t>
      </w:r>
    </w:p>
    <w:p w14:paraId="27BA6FD3" w14:textId="77777777" w:rsidR="009476F1" w:rsidRDefault="00F53525" w:rsidP="004726DE">
      <w:r>
        <w:t xml:space="preserve">That said, there are </w:t>
      </w:r>
      <w:r w:rsidR="00981C5A">
        <w:t>some cohorts</w:t>
      </w:r>
      <w:r w:rsidR="00C2636C">
        <w:t xml:space="preserve"> </w:t>
      </w:r>
      <w:r w:rsidR="00C34217">
        <w:t xml:space="preserve">who </w:t>
      </w:r>
      <w:r w:rsidR="00C2636C">
        <w:t xml:space="preserve">are less likely to access the current system </w:t>
      </w:r>
      <w:r w:rsidR="00981C5A">
        <w:t>and who may benefit from targeted strategies to increase service uptake.</w:t>
      </w:r>
      <w:r w:rsidR="00C2636C">
        <w:t xml:space="preserve"> This includes </w:t>
      </w:r>
      <w:r w:rsidR="00715FA5" w:rsidRPr="00715FA5">
        <w:t>younger (18-24) and older (65+) age-groups, people who are employed or retired, and people who are in a relationship</w:t>
      </w:r>
      <w:r w:rsidR="00C2636C">
        <w:t xml:space="preserve">. </w:t>
      </w:r>
    </w:p>
    <w:p w14:paraId="33ECDAB7" w14:textId="4A83F32B" w:rsidR="00517D11" w:rsidRDefault="00974B86" w:rsidP="004726DE">
      <w:r>
        <w:t xml:space="preserve">Activities that address </w:t>
      </w:r>
      <w:r w:rsidR="00E72B89">
        <w:t xml:space="preserve">structural barriers (e.g., </w:t>
      </w:r>
      <w:r w:rsidR="000B4C90">
        <w:t xml:space="preserve">increasing </w:t>
      </w:r>
      <w:r w:rsidR="00E72B89">
        <w:t>awareness</w:t>
      </w:r>
      <w:r w:rsidR="005F72E4">
        <w:t xml:space="preserve">, </w:t>
      </w:r>
      <w:r w:rsidR="000B4C90">
        <w:t xml:space="preserve">improving </w:t>
      </w:r>
      <w:r w:rsidR="00E72B89">
        <w:t>service accessibility</w:t>
      </w:r>
      <w:r w:rsidR="005F72E4">
        <w:t xml:space="preserve">, and </w:t>
      </w:r>
      <w:r w:rsidR="00F748A1">
        <w:t>diversifying service offerings</w:t>
      </w:r>
      <w:r w:rsidR="00E72B89">
        <w:t>)</w:t>
      </w:r>
      <w:r w:rsidR="007E6C33">
        <w:t xml:space="preserve"> could be quickly and easily implemented in the short term, and will likely </w:t>
      </w:r>
      <w:r w:rsidR="00E72B89">
        <w:t xml:space="preserve">go some way towards increasing </w:t>
      </w:r>
      <w:r w:rsidR="004C0BE7">
        <w:t>service uptake among these cohorts.</w:t>
      </w:r>
      <w:r>
        <w:t xml:space="preserve"> </w:t>
      </w:r>
      <w:r w:rsidR="00BE37B5">
        <w:t xml:space="preserve">Informal </w:t>
      </w:r>
      <w:r w:rsidR="006D0436">
        <w:t>support</w:t>
      </w:r>
      <w:r w:rsidR="00BE37B5">
        <w:t xml:space="preserve"> can be effective in increasing motivation to engage in help-seeking. Improving access to resources that facilita</w:t>
      </w:r>
      <w:r w:rsidR="00F64854">
        <w:t>te informal support (e.g., information for families, engaging loved ones in care)</w:t>
      </w:r>
      <w:r w:rsidR="006E6D36">
        <w:t xml:space="preserve"> as well as public education campaigns</w:t>
      </w:r>
      <w:r w:rsidR="005C534D">
        <w:t xml:space="preserve"> to raise awareness of how people can assist </w:t>
      </w:r>
      <w:r w:rsidR="00E5320B">
        <w:t>others struggling with their gambling</w:t>
      </w:r>
      <w:r w:rsidR="00F64854">
        <w:t xml:space="preserve"> may also increase service uptake among gamblers</w:t>
      </w:r>
      <w:r w:rsidR="00E5320B">
        <w:t xml:space="preserve"> (Hing</w:t>
      </w:r>
      <w:r w:rsidR="009E3C89">
        <w:t>, Nuske &amp; Gainsb</w:t>
      </w:r>
      <w:r w:rsidR="00F0736E">
        <w:t>u</w:t>
      </w:r>
      <w:r w:rsidR="009E3C89">
        <w:t>ry, 2011)</w:t>
      </w:r>
      <w:r w:rsidR="00F64854">
        <w:t>.</w:t>
      </w:r>
      <w:r w:rsidR="00064A30">
        <w:t xml:space="preserve"> Ultimately, </w:t>
      </w:r>
      <w:r w:rsidR="00C178B1">
        <w:t xml:space="preserve">initiatives </w:t>
      </w:r>
      <w:r w:rsidR="00064A30">
        <w:t>that</w:t>
      </w:r>
      <w:r w:rsidR="00C178B1">
        <w:t xml:space="preserve"> c</w:t>
      </w:r>
      <w:r w:rsidR="00FC453E">
        <w:t>halleng</w:t>
      </w:r>
      <w:r w:rsidR="00C178B1">
        <w:t>e</w:t>
      </w:r>
      <w:r w:rsidR="00FC453E">
        <w:t xml:space="preserve"> </w:t>
      </w:r>
      <w:r w:rsidR="00F64854">
        <w:t>community</w:t>
      </w:r>
      <w:r w:rsidR="00C178B1">
        <w:t xml:space="preserve"> </w:t>
      </w:r>
      <w:r w:rsidR="00FC453E">
        <w:t xml:space="preserve">attitudes towards problem gambling and </w:t>
      </w:r>
      <w:r w:rsidR="00E2044C">
        <w:t xml:space="preserve">effectively </w:t>
      </w:r>
      <w:r w:rsidR="00FC453E">
        <w:t>tackl</w:t>
      </w:r>
      <w:r w:rsidR="00C178B1">
        <w:t>e</w:t>
      </w:r>
      <w:r w:rsidR="00FC453E">
        <w:t xml:space="preserve"> stigma</w:t>
      </w:r>
      <w:r w:rsidR="007E421D">
        <w:t xml:space="preserve"> </w:t>
      </w:r>
      <w:r w:rsidR="00064A30">
        <w:t xml:space="preserve">are likely to have </w:t>
      </w:r>
      <w:r w:rsidR="00F64854">
        <w:t>the g</w:t>
      </w:r>
      <w:r w:rsidR="00064A30">
        <w:t>reate</w:t>
      </w:r>
      <w:r w:rsidR="00F64854">
        <w:t>st</w:t>
      </w:r>
      <w:r w:rsidR="00064A30">
        <w:t xml:space="preserve"> effect on </w:t>
      </w:r>
      <w:r w:rsidR="007E421D">
        <w:t>service uptake</w:t>
      </w:r>
      <w:r w:rsidR="00F64854">
        <w:t xml:space="preserve"> but operate on a longer timescale</w:t>
      </w:r>
      <w:r w:rsidR="00C178B1">
        <w:t>.</w:t>
      </w:r>
    </w:p>
    <w:p w14:paraId="1222A883" w14:textId="1A3D2079" w:rsidR="00981C5A" w:rsidRPr="00B76420" w:rsidRDefault="00FF20C2" w:rsidP="00B76420">
      <w:r>
        <w:t xml:space="preserve">More </w:t>
      </w:r>
      <w:r w:rsidR="00D37438">
        <w:t>research</w:t>
      </w:r>
      <w:r>
        <w:t xml:space="preserve"> is needed to understand who remains in treatment and </w:t>
      </w:r>
      <w:r w:rsidR="00E27CCD">
        <w:t>the circumstances surrounding relapse</w:t>
      </w:r>
      <w:r w:rsidR="00D37438">
        <w:t xml:space="preserve"> in South Australia</w:t>
      </w:r>
      <w:r w:rsidR="00E27CCD">
        <w:t xml:space="preserve">. </w:t>
      </w:r>
      <w:r w:rsidR="006759BF">
        <w:t xml:space="preserve">This </w:t>
      </w:r>
      <w:r w:rsidR="003600A7">
        <w:t xml:space="preserve">will </w:t>
      </w:r>
      <w:r w:rsidR="006759BF">
        <w:t xml:space="preserve">help ensure the gambling help service system is not only accessible to those who need it, but </w:t>
      </w:r>
      <w:r w:rsidR="006566AB">
        <w:t>also responsive to their treatment needs and able to support them</w:t>
      </w:r>
      <w:r w:rsidR="00B148ED">
        <w:t xml:space="preserve"> throughout their journey of recovery.</w:t>
      </w:r>
    </w:p>
    <w:p w14:paraId="6024786B" w14:textId="77777777" w:rsidR="00D908B2" w:rsidRDefault="00D908B2">
      <w:r>
        <w:br w:type="page"/>
      </w:r>
    </w:p>
    <w:p w14:paraId="0EA2982E" w14:textId="3517765C" w:rsidR="00AB47E1" w:rsidRDefault="00AB47E1" w:rsidP="00D908B2">
      <w:pPr>
        <w:pStyle w:val="Heading1"/>
      </w:pPr>
      <w:r>
        <w:lastRenderedPageBreak/>
        <w:t>References</w:t>
      </w:r>
    </w:p>
    <w:p w14:paraId="64BBB3D6" w14:textId="04775D78" w:rsidR="00790598" w:rsidRDefault="00790598" w:rsidP="00B76420">
      <w:r>
        <w:t xml:space="preserve">Abbott, M.W. (2020). </w:t>
      </w:r>
      <w:r w:rsidR="00D35103">
        <w:t xml:space="preserve">The changing epidemiology of gambling disorder and gambling related harm: public health implications. </w:t>
      </w:r>
      <w:r w:rsidR="00B76420" w:rsidRPr="00B76420">
        <w:rPr>
          <w:i/>
          <w:iCs/>
        </w:rPr>
        <w:t>Public Health</w:t>
      </w:r>
      <w:r w:rsidR="00B76420">
        <w:t>, https://doi.org/10.1016/j.puhe.2020.04.003</w:t>
      </w:r>
    </w:p>
    <w:p w14:paraId="657D70ED" w14:textId="587D94A0" w:rsidR="00766543" w:rsidRDefault="00766543" w:rsidP="00766543">
      <w:r>
        <w:t>Browne, M, Greer, N, Armstrong, T, Doran, C, Kinchin, I, Langham, E &amp; Rockloff, M 2017, The social cost of gambling to Victoria, Victorian Responsible Gambling Foundation, Melbourne.</w:t>
      </w:r>
    </w:p>
    <w:p w14:paraId="469203C9" w14:textId="44453E56" w:rsidR="00F33C3D" w:rsidRDefault="00F33C3D" w:rsidP="00AB47E1">
      <w:pPr>
        <w:rPr>
          <w:rStyle w:val="Hyperlink"/>
        </w:rPr>
      </w:pPr>
      <w:r>
        <w:t xml:space="preserve">Browne, M., Rawat, V., Newall, P., Begg, S., Rockloff, M., &amp; Hing, N. (2020). A framework for indirect elicitation of public health impact of gambling problems. </w:t>
      </w:r>
      <w:r>
        <w:rPr>
          <w:i/>
          <w:iCs/>
        </w:rPr>
        <w:t>BMC Public Health</w:t>
      </w:r>
      <w:r>
        <w:t xml:space="preserve">, 20, </w:t>
      </w:r>
      <w:hyperlink r:id="rId11" w:history="1">
        <w:r w:rsidR="00856325" w:rsidRPr="004B424B">
          <w:rPr>
            <w:rStyle w:val="Hyperlink"/>
          </w:rPr>
          <w:t>https://doi.org/10.1186/s12889-020-09813-z</w:t>
        </w:r>
      </w:hyperlink>
    </w:p>
    <w:p w14:paraId="04654652" w14:textId="326137EE" w:rsidR="000767DF" w:rsidRDefault="000767DF" w:rsidP="00AB47E1">
      <w:r>
        <w:t xml:space="preserve">Brown, K. &amp; Russell, A.M.T. (2019). What can be done to reduce the public stigma of </w:t>
      </w:r>
      <w:r w:rsidR="00C523FF">
        <w:t xml:space="preserve">gambling disorder? Lessons from other stigmatised conditions. </w:t>
      </w:r>
      <w:r w:rsidR="00C523FF">
        <w:rPr>
          <w:i/>
          <w:iCs/>
        </w:rPr>
        <w:t>Journal of Gambling Studies</w:t>
      </w:r>
      <w:r w:rsidR="00774E03">
        <w:t xml:space="preserve">, </w:t>
      </w:r>
      <w:hyperlink r:id="rId12" w:history="1">
        <w:r w:rsidR="00774E03" w:rsidRPr="00E5527A">
          <w:rPr>
            <w:rStyle w:val="Hyperlink"/>
          </w:rPr>
          <w:t>https://doi.org/10.1007/s10899-019-09890-9</w:t>
        </w:r>
      </w:hyperlink>
    </w:p>
    <w:p w14:paraId="023DA466" w14:textId="7346F656" w:rsidR="000E54F9" w:rsidRDefault="000E54F9" w:rsidP="00AB47E1">
      <w:r>
        <w:t>Delfabbro, P. &amp; Wallace, E. (2020). Analysis of South Australian Gambling Data. Report prepared for the Office of Problem Gambling, Department of Human Services. Adelaide: S</w:t>
      </w:r>
      <w:r w:rsidR="003C174B">
        <w:t>outh Australia.</w:t>
      </w:r>
    </w:p>
    <w:p w14:paraId="08DEE9C0" w14:textId="77777777" w:rsidR="00D26EF4" w:rsidRDefault="00D26EF4" w:rsidP="00D26EF4">
      <w:r>
        <w:t xml:space="preserve">Goodwin, B.C., Browne, M., Rockloff, M. &amp; Rose, J. (2017). A typical problem gambler affects six others. </w:t>
      </w:r>
      <w:r>
        <w:rPr>
          <w:i/>
          <w:iCs/>
        </w:rPr>
        <w:t>International Gambling Studies</w:t>
      </w:r>
      <w:r>
        <w:t>, 17 (2), 276-289.</w:t>
      </w:r>
    </w:p>
    <w:p w14:paraId="011B5B42" w14:textId="720C61F1" w:rsidR="00D26EF4" w:rsidRDefault="00D26EF4" w:rsidP="00AB47E1">
      <w:r>
        <w:t>Hing, N., Nuske,</w:t>
      </w:r>
      <w:r w:rsidR="00C74C43">
        <w:t xml:space="preserve"> E.</w:t>
      </w:r>
      <w:r>
        <w:t xml:space="preserve"> </w:t>
      </w:r>
      <w:r w:rsidR="00C74C43">
        <w:t>&amp; Gainsbury, S. (2011). Gamblers at</w:t>
      </w:r>
      <w:r w:rsidR="00A63211">
        <w:t>-</w:t>
      </w:r>
      <w:r w:rsidR="00C74C43">
        <w:t>risk and their help</w:t>
      </w:r>
      <w:r w:rsidR="00A63211">
        <w:t>-</w:t>
      </w:r>
      <w:r w:rsidR="00C74C43">
        <w:t xml:space="preserve">seeking behaviour. </w:t>
      </w:r>
      <w:r w:rsidR="00A63211">
        <w:t>Report prepared for Gambling Research Australia. Accessed</w:t>
      </w:r>
      <w:r w:rsidR="00B20E2A">
        <w:t xml:space="preserve"> January 2021</w:t>
      </w:r>
      <w:r w:rsidR="00A63211">
        <w:t xml:space="preserve"> via: </w:t>
      </w:r>
      <w:r w:rsidR="00B20E2A" w:rsidRPr="00B20E2A">
        <w:t>https://www.responsiblegambling.nsw.gov.au/__data/assets/pdf_file/0006/880377/Gamblers-at-risk-and-their-help-seeking-behaviour.pdf</w:t>
      </w:r>
    </w:p>
    <w:p w14:paraId="156BC129" w14:textId="05FE1FEC" w:rsidR="00856325" w:rsidRPr="00F33C3D" w:rsidRDefault="00856325" w:rsidP="00AB47E1">
      <w:r w:rsidRPr="005F2F1C">
        <w:t>Langham</w:t>
      </w:r>
      <w:r>
        <w:t>,</w:t>
      </w:r>
      <w:r w:rsidRPr="005F2F1C">
        <w:t xml:space="preserve"> E</w:t>
      </w:r>
      <w:r>
        <w:t>.</w:t>
      </w:r>
      <w:r w:rsidRPr="005F2F1C">
        <w:t>, Thorne</w:t>
      </w:r>
      <w:r>
        <w:t>,</w:t>
      </w:r>
      <w:r w:rsidRPr="005F2F1C">
        <w:t xml:space="preserve"> H</w:t>
      </w:r>
      <w:r>
        <w:t>.</w:t>
      </w:r>
      <w:r w:rsidRPr="005F2F1C">
        <w:t>, Browne</w:t>
      </w:r>
      <w:r>
        <w:t>,</w:t>
      </w:r>
      <w:r w:rsidRPr="005F2F1C">
        <w:t xml:space="preserve"> M</w:t>
      </w:r>
      <w:r>
        <w:t>.</w:t>
      </w:r>
      <w:r w:rsidRPr="005F2F1C">
        <w:t>, Donaldson</w:t>
      </w:r>
      <w:r>
        <w:t>,</w:t>
      </w:r>
      <w:r w:rsidRPr="005F2F1C">
        <w:t xml:space="preserve"> P</w:t>
      </w:r>
      <w:r>
        <w:t>.</w:t>
      </w:r>
      <w:r w:rsidRPr="005F2F1C">
        <w:t>, Rose</w:t>
      </w:r>
      <w:r>
        <w:t>,</w:t>
      </w:r>
      <w:r w:rsidRPr="005F2F1C">
        <w:t xml:space="preserve"> J</w:t>
      </w:r>
      <w:r>
        <w:t>.</w:t>
      </w:r>
      <w:r w:rsidRPr="005F2F1C">
        <w:t>, Rockloff</w:t>
      </w:r>
      <w:r>
        <w:t>,</w:t>
      </w:r>
      <w:r w:rsidRPr="005F2F1C">
        <w:t xml:space="preserve"> M. (2016)</w:t>
      </w:r>
      <w:r>
        <w:t>.</w:t>
      </w:r>
      <w:r w:rsidRPr="005F2F1C">
        <w:t xml:space="preserve"> Understanding gambling related harm: a proposed definition, conceptual framework, and taxonomy of harms. </w:t>
      </w:r>
      <w:r w:rsidRPr="00C12B6B">
        <w:rPr>
          <w:i/>
          <w:iCs/>
        </w:rPr>
        <w:t>BMC public health</w:t>
      </w:r>
      <w:r w:rsidRPr="005F2F1C">
        <w:t xml:space="preserve"> 16: 80</w:t>
      </w:r>
    </w:p>
    <w:p w14:paraId="41A8FADE" w14:textId="2F6ECEDE" w:rsidR="00AB47E1" w:rsidRDefault="00BB4880" w:rsidP="00AB47E1">
      <w:r>
        <w:t xml:space="preserve">Li, E., Browne, M., Rawat, V., Langham, E., &amp; Rockloff, M. (2017). Breaking bad: Comparing gambling harms </w:t>
      </w:r>
      <w:r w:rsidR="00E42D56">
        <w:t>among</w:t>
      </w:r>
      <w:r>
        <w:t xml:space="preserve"> gamblers and </w:t>
      </w:r>
      <w:r w:rsidR="00E42D56">
        <w:t>affected</w:t>
      </w:r>
      <w:r>
        <w:t xml:space="preserve"> others. </w:t>
      </w:r>
      <w:r w:rsidRPr="001D30CF">
        <w:rPr>
          <w:i/>
          <w:iCs/>
        </w:rPr>
        <w:t>Journal of Gambling Studies</w:t>
      </w:r>
      <w:r>
        <w:t>, 33(1), 223-248.</w:t>
      </w:r>
    </w:p>
    <w:p w14:paraId="755A3706" w14:textId="577BFE2F" w:rsidR="009B3245" w:rsidRDefault="009B3245" w:rsidP="009B3245">
      <w:r>
        <w:t>Livingstone, C</w:t>
      </w:r>
      <w:r w:rsidR="00B62B48">
        <w:t>.</w:t>
      </w:r>
      <w:r>
        <w:t>, Rintoul, A</w:t>
      </w:r>
      <w:r w:rsidR="00B62B48">
        <w:t>.</w:t>
      </w:r>
      <w:r>
        <w:t>, de Lacy-Vawdon, C</w:t>
      </w:r>
      <w:r w:rsidR="00B62B48">
        <w:t>..</w:t>
      </w:r>
      <w:r>
        <w:t>, Borland,</w:t>
      </w:r>
      <w:r w:rsidR="00B62B48">
        <w:t xml:space="preserve"> </w:t>
      </w:r>
      <w:r>
        <w:t>R</w:t>
      </w:r>
      <w:r w:rsidR="00B62B48">
        <w:t>.</w:t>
      </w:r>
      <w:r>
        <w:t>, Dietze, P</w:t>
      </w:r>
      <w:r w:rsidR="00B62B48">
        <w:t>.</w:t>
      </w:r>
      <w:r>
        <w:t>, Jenkinson, R</w:t>
      </w:r>
      <w:r w:rsidR="00B62B48">
        <w:t>.</w:t>
      </w:r>
      <w:r>
        <w:t>, Livingston, M</w:t>
      </w:r>
      <w:r w:rsidR="00B62B48">
        <w:t>.</w:t>
      </w:r>
      <w:r>
        <w:t>, Room, R</w:t>
      </w:r>
      <w:r w:rsidR="00B62B48">
        <w:t>.</w:t>
      </w:r>
      <w:r>
        <w:t>, Smith, B</w:t>
      </w:r>
      <w:r w:rsidR="00B62B48">
        <w:t>.</w:t>
      </w:r>
      <w:r>
        <w:t>, Stoove, M</w:t>
      </w:r>
      <w:r w:rsidR="00B62B48">
        <w:t>.</w:t>
      </w:r>
      <w:r>
        <w:t>, Winter, R</w:t>
      </w:r>
      <w:r w:rsidR="00B62B48">
        <w:t>.</w:t>
      </w:r>
      <w:r>
        <w:t xml:space="preserve"> &amp; Hill,</w:t>
      </w:r>
      <w:r w:rsidR="00B62B48">
        <w:t xml:space="preserve"> P. (2019). </w:t>
      </w:r>
      <w:r w:rsidR="00B62B48" w:rsidRPr="00B62B48">
        <w:rPr>
          <w:i/>
          <w:iCs/>
        </w:rPr>
        <w:t>I</w:t>
      </w:r>
      <w:r w:rsidRPr="00B62B48">
        <w:rPr>
          <w:i/>
          <w:iCs/>
        </w:rPr>
        <w:t>dentifying effective policy interventions to prevent gambling-related harm</w:t>
      </w:r>
      <w:r w:rsidR="00B62B48">
        <w:t>.</w:t>
      </w:r>
      <w:r>
        <w:t xml:space="preserve"> Victorian Responsible Gambling Foundation, Melbourne.</w:t>
      </w:r>
    </w:p>
    <w:p w14:paraId="4AD32B10" w14:textId="4A9BB8B1" w:rsidR="00A81146" w:rsidRDefault="00A81146" w:rsidP="009B3245">
      <w:r>
        <w:t xml:space="preserve">Loy, J.K., Grune, B., Braun, B., Samuelsson, E., &amp; Kraus, L. (2018). </w:t>
      </w:r>
      <w:r w:rsidR="00DB236D">
        <w:t xml:space="preserve">Help-seeking behaviour of problem gamblers: a narrative review. </w:t>
      </w:r>
      <w:r w:rsidR="00A75656">
        <w:rPr>
          <w:i/>
          <w:iCs/>
        </w:rPr>
        <w:t>Sucht</w:t>
      </w:r>
      <w:r w:rsidR="00A75656">
        <w:t>, 64 (5-6), 259-272.</w:t>
      </w:r>
    </w:p>
    <w:p w14:paraId="53094148" w14:textId="630C1611" w:rsidR="008718C6" w:rsidRDefault="008718C6" w:rsidP="009B3245">
      <w:r w:rsidRPr="008718C6">
        <w:t xml:space="preserve">McGowan, V., &amp; Nixon, G. (2004). Blackfoot traditional knowledge in resolution of problem gambling. </w:t>
      </w:r>
      <w:r w:rsidRPr="008718C6">
        <w:rPr>
          <w:i/>
          <w:iCs/>
        </w:rPr>
        <w:t>Canadian Journal of Native Studies</w:t>
      </w:r>
      <w:r w:rsidRPr="008718C6">
        <w:t>, 24, 7-35.</w:t>
      </w:r>
    </w:p>
    <w:p w14:paraId="1518458D" w14:textId="65B9976C" w:rsidR="00B5162D" w:rsidRDefault="00D33672" w:rsidP="00D33672">
      <w:r>
        <w:t>Tavares, H., Zilberman, M., Beites, F.J., et al.</w:t>
      </w:r>
      <w:r w:rsidR="00A66F78">
        <w:t xml:space="preserve"> (2001). </w:t>
      </w:r>
      <w:r w:rsidRPr="00135A42">
        <w:t>Gender differences in</w:t>
      </w:r>
      <w:r w:rsidR="00A66F78" w:rsidRPr="00135A42">
        <w:t xml:space="preserve"> </w:t>
      </w:r>
      <w:r w:rsidRPr="00135A42">
        <w:t xml:space="preserve">gambling progression. </w:t>
      </w:r>
      <w:r w:rsidR="00135A42" w:rsidRPr="00135A42">
        <w:rPr>
          <w:i/>
          <w:iCs/>
        </w:rPr>
        <w:t xml:space="preserve">Journal of </w:t>
      </w:r>
      <w:r w:rsidRPr="00135A42">
        <w:rPr>
          <w:i/>
          <w:iCs/>
        </w:rPr>
        <w:t>Gambling Studies</w:t>
      </w:r>
      <w:r w:rsidR="00135A42">
        <w:t>, 1</w:t>
      </w:r>
      <w:r>
        <w:t>7</w:t>
      </w:r>
      <w:r w:rsidR="00135A42">
        <w:t xml:space="preserve">, </w:t>
      </w:r>
      <w:r>
        <w:t>151–159</w:t>
      </w:r>
      <w:r w:rsidR="00135A42">
        <w:t>.</w:t>
      </w:r>
    </w:p>
    <w:p w14:paraId="1BF2F070" w14:textId="6AB68F4A" w:rsidR="00A328D3" w:rsidRPr="00D40869" w:rsidRDefault="00A328D3" w:rsidP="00D33672">
      <w:bookmarkStart w:id="5" w:name="_Hlk72146039"/>
      <w:r>
        <w:t>Wardle, H., Reith, G., Best, D., McDaid, D., &amp; Platt, S. (2018). Measuring gambling-related harms. A framework for action. Gambling Commission, London.</w:t>
      </w:r>
    </w:p>
    <w:bookmarkEnd w:id="5"/>
    <w:p w14:paraId="4FEBAE29" w14:textId="2FCE7E8D" w:rsidR="00AE4095" w:rsidRDefault="00AE4095" w:rsidP="00AB47E1">
      <w:r>
        <w:t xml:space="preserve">Woods, A., Sproston, K., Brook, K., Delfabbro, P., &amp; O’Neil, M. (2018). Gambling Prevalence in South Australia (2018) Final Report. Report prepared </w:t>
      </w:r>
      <w:r w:rsidR="00C91D27">
        <w:t xml:space="preserve">for the Department of Human Services, South Australia. Accessed January 2021 via: </w:t>
      </w:r>
      <w:hyperlink r:id="rId13" w:history="1">
        <w:r w:rsidR="00C91D27" w:rsidRPr="004B424B">
          <w:rPr>
            <w:rStyle w:val="Hyperlink"/>
          </w:rPr>
          <w:t>https://problemgambling.sa.gov.au/__data/assets/pdf_file/0017/80126/2018-SA-Gambling-Prevalence-Survey-Final-Report-Updated-07.02.19.pdf</w:t>
        </w:r>
      </w:hyperlink>
    </w:p>
    <w:p w14:paraId="0548CC9B" w14:textId="77777777" w:rsidR="00C91D27" w:rsidRPr="00AB47E1" w:rsidRDefault="00C91D27" w:rsidP="00AB47E1"/>
    <w:sectPr w:rsidR="00C91D27" w:rsidRPr="00AB47E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C841C" w14:textId="77777777" w:rsidR="00F35BB8" w:rsidRDefault="00F35BB8" w:rsidP="00B829E6">
      <w:pPr>
        <w:spacing w:after="0" w:line="240" w:lineRule="auto"/>
      </w:pPr>
      <w:r>
        <w:separator/>
      </w:r>
    </w:p>
  </w:endnote>
  <w:endnote w:type="continuationSeparator" w:id="0">
    <w:p w14:paraId="73EE08B2" w14:textId="77777777" w:rsidR="00F35BB8" w:rsidRDefault="00F35BB8" w:rsidP="00B82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0D79E" w14:textId="77777777" w:rsidR="00E64A52" w:rsidRDefault="00E64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9624C" w14:textId="229D7541" w:rsidR="00F81E02" w:rsidRDefault="00F81E02">
    <w:pPr>
      <w:pStyle w:val="Footer"/>
      <w:jc w:val="right"/>
    </w:pPr>
    <w:r>
      <w:t>Summary of Delfabbro &amp; Wallace, 2020</w:t>
    </w:r>
    <w:r w:rsidR="000E54F9">
      <w:t xml:space="preserve">, </w:t>
    </w:r>
    <w:sdt>
      <w:sdtPr>
        <w:id w:val="17855412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AC8F66B" w14:textId="77777777" w:rsidR="00F81E02" w:rsidRDefault="00F81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CB81A" w14:textId="77777777" w:rsidR="00E64A52" w:rsidRDefault="00E64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F0CD8" w14:textId="77777777" w:rsidR="00F35BB8" w:rsidRDefault="00F35BB8" w:rsidP="00B829E6">
      <w:pPr>
        <w:spacing w:after="0" w:line="240" w:lineRule="auto"/>
      </w:pPr>
      <w:r>
        <w:separator/>
      </w:r>
    </w:p>
  </w:footnote>
  <w:footnote w:type="continuationSeparator" w:id="0">
    <w:p w14:paraId="4C50BB2C" w14:textId="77777777" w:rsidR="00F35BB8" w:rsidRDefault="00F35BB8" w:rsidP="00B829E6">
      <w:pPr>
        <w:spacing w:after="0" w:line="240" w:lineRule="auto"/>
      </w:pPr>
      <w:r>
        <w:continuationSeparator/>
      </w:r>
    </w:p>
  </w:footnote>
  <w:footnote w:id="1">
    <w:p w14:paraId="49B4076B" w14:textId="75D5530C" w:rsidR="00FA1F28" w:rsidRPr="00AD567A" w:rsidRDefault="00FA1F28" w:rsidP="00FA1F28">
      <w:pPr>
        <w:spacing w:after="0" w:line="240" w:lineRule="auto"/>
        <w:rPr>
          <w:sz w:val="18"/>
          <w:szCs w:val="18"/>
        </w:rPr>
      </w:pPr>
      <w:r w:rsidRPr="00FA1F28">
        <w:rPr>
          <w:rStyle w:val="FootnoteReference"/>
          <w:sz w:val="20"/>
          <w:szCs w:val="20"/>
        </w:rPr>
        <w:footnoteRef/>
      </w:r>
      <w:r w:rsidRPr="00FA1F28">
        <w:rPr>
          <w:sz w:val="20"/>
          <w:szCs w:val="20"/>
        </w:rPr>
        <w:t xml:space="preserve"> </w:t>
      </w:r>
      <w:r w:rsidRPr="00AD567A">
        <w:rPr>
          <w:sz w:val="18"/>
          <w:szCs w:val="18"/>
        </w:rPr>
        <w:t xml:space="preserve">The </w:t>
      </w:r>
      <w:r w:rsidR="00813E4F" w:rsidRPr="00AD567A">
        <w:rPr>
          <w:sz w:val="18"/>
          <w:szCs w:val="18"/>
        </w:rPr>
        <w:t>Prevalence S</w:t>
      </w:r>
      <w:r w:rsidRPr="00AD567A">
        <w:rPr>
          <w:sz w:val="18"/>
          <w:szCs w:val="18"/>
        </w:rPr>
        <w:t>urvey measured gambling severity using the Problem Gambling Severity Index (PGSI). The PGSI is a standardised screening tool that is used widely in both international and Australian gambling surveys.</w:t>
      </w:r>
      <w:r w:rsidR="001B1ECA" w:rsidRPr="00AD567A">
        <w:rPr>
          <w:sz w:val="18"/>
          <w:szCs w:val="18"/>
        </w:rPr>
        <w:t xml:space="preserve"> Risky gambling is defined as those scoring between </w:t>
      </w:r>
      <w:r w:rsidR="007E445D" w:rsidRPr="00AD567A">
        <w:rPr>
          <w:sz w:val="18"/>
          <w:szCs w:val="18"/>
        </w:rPr>
        <w:t>3 and 7 (moderate risk gambling) and</w:t>
      </w:r>
      <w:r w:rsidR="001B1ECA" w:rsidRPr="00AD567A">
        <w:rPr>
          <w:sz w:val="18"/>
          <w:szCs w:val="18"/>
        </w:rPr>
        <w:t xml:space="preserve"> 8 or higher (problem gambling)</w:t>
      </w:r>
      <w:r w:rsidRPr="00AD567A">
        <w:rPr>
          <w:sz w:val="18"/>
          <w:szCs w:val="18"/>
        </w:rPr>
        <w:t xml:space="preserve"> </w:t>
      </w:r>
      <w:r w:rsidR="00203866" w:rsidRPr="00AD567A">
        <w:rPr>
          <w:sz w:val="18"/>
          <w:szCs w:val="18"/>
        </w:rPr>
        <w:t>on the PGSI.</w:t>
      </w:r>
    </w:p>
  </w:footnote>
  <w:footnote w:id="2">
    <w:p w14:paraId="314203D8" w14:textId="29D717A2" w:rsidR="00C30130" w:rsidRDefault="00C30130">
      <w:pPr>
        <w:pStyle w:val="FootnoteText"/>
      </w:pPr>
      <w:r>
        <w:rPr>
          <w:rStyle w:val="FootnoteReference"/>
        </w:rPr>
        <w:footnoteRef/>
      </w:r>
      <w:r>
        <w:t xml:space="preserve"> </w:t>
      </w:r>
      <w:r w:rsidR="00A910FB" w:rsidRPr="00AD567A">
        <w:rPr>
          <w:sz w:val="18"/>
          <w:szCs w:val="18"/>
        </w:rPr>
        <w:t>The Prevalence Survey estimated 0.7% of South Australian residents</w:t>
      </w:r>
      <w:r w:rsidR="00751E6F" w:rsidRPr="00AD567A">
        <w:rPr>
          <w:sz w:val="18"/>
          <w:szCs w:val="18"/>
        </w:rPr>
        <w:t xml:space="preserve"> engage in problem gambling</w:t>
      </w:r>
      <w:r w:rsidR="001129C2" w:rsidRPr="00AD567A">
        <w:rPr>
          <w:sz w:val="18"/>
          <w:szCs w:val="18"/>
        </w:rPr>
        <w:t>, or 9,588 individuals based on a population estimate of 1,369,753 in 2018.</w:t>
      </w:r>
      <w:r w:rsidR="00247B2D" w:rsidRPr="00AD567A">
        <w:rPr>
          <w:sz w:val="18"/>
          <w:szCs w:val="18"/>
        </w:rPr>
        <w:t xml:space="preserve"> This means around 57,530</w:t>
      </w:r>
      <w:r w:rsidR="0048064E">
        <w:rPr>
          <w:sz w:val="18"/>
          <w:szCs w:val="18"/>
        </w:rPr>
        <w:t xml:space="preserve"> (9,588 x 6)</w:t>
      </w:r>
      <w:r w:rsidR="00A910FB" w:rsidRPr="00AD567A">
        <w:rPr>
          <w:sz w:val="18"/>
          <w:szCs w:val="18"/>
        </w:rPr>
        <w:t xml:space="preserve"> </w:t>
      </w:r>
      <w:r w:rsidR="00247B2D" w:rsidRPr="00AD567A">
        <w:rPr>
          <w:sz w:val="18"/>
          <w:szCs w:val="18"/>
        </w:rPr>
        <w:t>South Australian residents are affected by problem gambling.</w:t>
      </w:r>
    </w:p>
  </w:footnote>
  <w:footnote w:id="3">
    <w:p w14:paraId="6864787A" w14:textId="5841A4F6" w:rsidR="00B829E6" w:rsidRDefault="00B829E6" w:rsidP="00FA1F28">
      <w:pPr>
        <w:pStyle w:val="FootnoteText"/>
      </w:pPr>
      <w:r>
        <w:rPr>
          <w:rStyle w:val="FootnoteReference"/>
        </w:rPr>
        <w:footnoteRef/>
      </w:r>
      <w:r>
        <w:t xml:space="preserve"> </w:t>
      </w:r>
      <w:r>
        <w:rPr>
          <w:rFonts w:cs="Arial"/>
          <w:bCs/>
        </w:rPr>
        <w:t xml:space="preserve">In addition to therapeutic support, </w:t>
      </w:r>
      <w:r w:rsidR="00EB5332">
        <w:rPr>
          <w:rFonts w:cs="Arial"/>
          <w:bCs/>
        </w:rPr>
        <w:t>Gambling Help Services</w:t>
      </w:r>
      <w:r>
        <w:rPr>
          <w:rFonts w:cs="Arial"/>
          <w:bCs/>
        </w:rPr>
        <w:t xml:space="preserve"> are responsible for working in community to raise awareness of gambling harms, reduce stigma surrounding problem gambling, and encourage help seeking. Services are also expected to build strong working relationships with venues to improve their capability to assist people experiencing gambling harm and establish appropriate referral pathways.</w:t>
      </w:r>
    </w:p>
  </w:footnote>
  <w:footnote w:id="4">
    <w:p w14:paraId="1C6CB494" w14:textId="5E6B4B42" w:rsidR="00847A02" w:rsidRDefault="00847A02">
      <w:pPr>
        <w:pStyle w:val="FootnoteText"/>
      </w:pPr>
      <w:r>
        <w:rPr>
          <w:rStyle w:val="FootnoteReference"/>
        </w:rPr>
        <w:footnoteRef/>
      </w:r>
      <w:r>
        <w:t xml:space="preserve"> </w:t>
      </w:r>
      <w:r w:rsidR="00EE01F7">
        <w:t xml:space="preserve">This includes those individuals who were </w:t>
      </w:r>
      <w:r>
        <w:t>categorised as moderate-risk gamblers or problem gamblers by the PGSI</w:t>
      </w:r>
      <w:r w:rsidR="00EE01F7">
        <w:t>.</w:t>
      </w:r>
    </w:p>
  </w:footnote>
  <w:footnote w:id="5">
    <w:p w14:paraId="1E265939" w14:textId="67FE89A8" w:rsidR="007B13E0" w:rsidRDefault="007B13E0">
      <w:pPr>
        <w:pStyle w:val="FootnoteText"/>
      </w:pPr>
      <w:r>
        <w:rPr>
          <w:rStyle w:val="FootnoteReference"/>
        </w:rPr>
        <w:footnoteRef/>
      </w:r>
      <w:r>
        <w:t xml:space="preserve"> </w:t>
      </w:r>
      <w:r w:rsidR="004A3D40">
        <w:t>It is important to note that Aboriginal and Torres Strait Islander people were under-represented in the Prevalence Survey</w:t>
      </w:r>
      <w:r w:rsidR="00A16922">
        <w:t xml:space="preserve">. </w:t>
      </w:r>
      <w:r w:rsidR="000D1482">
        <w:t>That said, they were significantly more likely to be classified as at-risk gamblers (5.6%) compared to non-Indigenous people (2.9%), and more likely to report being impacted by someone else’s gambling (10% of Aboriginal and Torres Strait Islander people compared to 6% of non-Indigenous people).</w:t>
      </w:r>
    </w:p>
  </w:footnote>
  <w:footnote w:id="6">
    <w:p w14:paraId="6D5B9620" w14:textId="400D08BB" w:rsidR="00021535" w:rsidRDefault="00021535">
      <w:pPr>
        <w:pStyle w:val="FootnoteText"/>
      </w:pPr>
      <w:r>
        <w:rPr>
          <w:rStyle w:val="FootnoteReference"/>
        </w:rPr>
        <w:footnoteRef/>
      </w:r>
      <w:r>
        <w:t xml:space="preserve"> </w:t>
      </w:r>
      <w:r w:rsidR="00772725">
        <w:t>Loy, Grune, Braun, Samuelsson, &amp; Kraus (20</w:t>
      </w:r>
      <w:r w:rsidR="00A81146">
        <w:t>18).</w:t>
      </w:r>
    </w:p>
  </w:footnote>
  <w:footnote w:id="7">
    <w:p w14:paraId="4B09AA97" w14:textId="0F094724" w:rsidR="007268D9" w:rsidRDefault="007268D9">
      <w:pPr>
        <w:pStyle w:val="FootnoteText"/>
      </w:pPr>
      <w:r>
        <w:rPr>
          <w:rStyle w:val="FootnoteReference"/>
        </w:rPr>
        <w:footnoteRef/>
      </w:r>
      <w:r>
        <w:t xml:space="preserve"> Queensland Government Statistician’s Office, Australian Gambling Statistics 1992-93 to 2017-18 35</w:t>
      </w:r>
      <w:r w:rsidRPr="00A73C67">
        <w:rPr>
          <w:vertAlign w:val="superscript"/>
        </w:rPr>
        <w:t>th</w:t>
      </w:r>
      <w:r>
        <w:t xml:space="preserve"> Edition, Brisbane, 2019.</w:t>
      </w:r>
    </w:p>
  </w:footnote>
  <w:footnote w:id="8">
    <w:p w14:paraId="40D0A3CD" w14:textId="018E30EA" w:rsidR="00427CE9" w:rsidRDefault="00427CE9">
      <w:pPr>
        <w:pStyle w:val="FootnoteText"/>
      </w:pPr>
      <w:r>
        <w:rPr>
          <w:rStyle w:val="FootnoteReference"/>
        </w:rPr>
        <w:footnoteRef/>
      </w:r>
      <w:r>
        <w:t xml:space="preserve"> </w:t>
      </w:r>
      <w:r w:rsidR="003E78F6">
        <w:t>Tavares and colleagues (2002) reported that on average 5 years elapsed between the experience of the first problem caused by gambling and the first attempt to have treatment.</w:t>
      </w:r>
    </w:p>
  </w:footnote>
  <w:footnote w:id="9">
    <w:p w14:paraId="217EED20" w14:textId="5CD5C9A0" w:rsidR="008D196D" w:rsidRDefault="008D196D">
      <w:pPr>
        <w:pStyle w:val="FootnoteText"/>
      </w:pPr>
      <w:r>
        <w:rPr>
          <w:rStyle w:val="FootnoteReference"/>
        </w:rPr>
        <w:footnoteRef/>
      </w:r>
      <w:r>
        <w:t xml:space="preserve"> </w:t>
      </w:r>
      <w:r w:rsidR="00AC2521">
        <w:t xml:space="preserve">As measured by the Kessler Psychological Distress Scale (K10) which </w:t>
      </w:r>
      <w:r w:rsidR="00C476B9">
        <w:t>assesses 10 anxiety and depressive symptoms experienced in the last four weeks.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68C15" w14:textId="77777777" w:rsidR="00E64A52" w:rsidRDefault="00E64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3E627" w14:textId="105033F1" w:rsidR="00E64A52" w:rsidRDefault="00E64A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9F41A" w14:textId="77777777" w:rsidR="00E64A52" w:rsidRDefault="00E64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744BE"/>
    <w:multiLevelType w:val="hybridMultilevel"/>
    <w:tmpl w:val="FC004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8B2AE2"/>
    <w:multiLevelType w:val="hybridMultilevel"/>
    <w:tmpl w:val="A0043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C32C8D"/>
    <w:multiLevelType w:val="hybridMultilevel"/>
    <w:tmpl w:val="90ACB260"/>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3" w15:restartNumberingAfterBreak="0">
    <w:nsid w:val="4F510E9B"/>
    <w:multiLevelType w:val="hybridMultilevel"/>
    <w:tmpl w:val="0EB23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014BB8"/>
    <w:multiLevelType w:val="hybridMultilevel"/>
    <w:tmpl w:val="25F22654"/>
    <w:lvl w:ilvl="0" w:tplc="DFC04F7E">
      <w:start w:val="1"/>
      <w:numFmt w:val="bullet"/>
      <w:lvlText w:val=""/>
      <w:lvlJc w:val="left"/>
      <w:pPr>
        <w:tabs>
          <w:tab w:val="num" w:pos="720"/>
        </w:tabs>
        <w:ind w:left="720" w:hanging="360"/>
      </w:pPr>
      <w:rPr>
        <w:rFonts w:ascii="Wingdings 3" w:hAnsi="Wingdings 3" w:hint="default"/>
      </w:rPr>
    </w:lvl>
    <w:lvl w:ilvl="1" w:tplc="0B6812D4">
      <w:start w:val="1"/>
      <w:numFmt w:val="bullet"/>
      <w:lvlText w:val=""/>
      <w:lvlJc w:val="left"/>
      <w:pPr>
        <w:tabs>
          <w:tab w:val="num" w:pos="1440"/>
        </w:tabs>
        <w:ind w:left="1440" w:hanging="360"/>
      </w:pPr>
      <w:rPr>
        <w:rFonts w:ascii="Wingdings 3" w:hAnsi="Wingdings 3" w:hint="default"/>
      </w:rPr>
    </w:lvl>
    <w:lvl w:ilvl="2" w:tplc="9A10E070" w:tentative="1">
      <w:start w:val="1"/>
      <w:numFmt w:val="bullet"/>
      <w:lvlText w:val=""/>
      <w:lvlJc w:val="left"/>
      <w:pPr>
        <w:tabs>
          <w:tab w:val="num" w:pos="2160"/>
        </w:tabs>
        <w:ind w:left="2160" w:hanging="360"/>
      </w:pPr>
      <w:rPr>
        <w:rFonts w:ascii="Wingdings 3" w:hAnsi="Wingdings 3" w:hint="default"/>
      </w:rPr>
    </w:lvl>
    <w:lvl w:ilvl="3" w:tplc="B42A4F20" w:tentative="1">
      <w:start w:val="1"/>
      <w:numFmt w:val="bullet"/>
      <w:lvlText w:val=""/>
      <w:lvlJc w:val="left"/>
      <w:pPr>
        <w:tabs>
          <w:tab w:val="num" w:pos="2880"/>
        </w:tabs>
        <w:ind w:left="2880" w:hanging="360"/>
      </w:pPr>
      <w:rPr>
        <w:rFonts w:ascii="Wingdings 3" w:hAnsi="Wingdings 3" w:hint="default"/>
      </w:rPr>
    </w:lvl>
    <w:lvl w:ilvl="4" w:tplc="05D293A4" w:tentative="1">
      <w:start w:val="1"/>
      <w:numFmt w:val="bullet"/>
      <w:lvlText w:val=""/>
      <w:lvlJc w:val="left"/>
      <w:pPr>
        <w:tabs>
          <w:tab w:val="num" w:pos="3600"/>
        </w:tabs>
        <w:ind w:left="3600" w:hanging="360"/>
      </w:pPr>
      <w:rPr>
        <w:rFonts w:ascii="Wingdings 3" w:hAnsi="Wingdings 3" w:hint="default"/>
      </w:rPr>
    </w:lvl>
    <w:lvl w:ilvl="5" w:tplc="79A06D7E" w:tentative="1">
      <w:start w:val="1"/>
      <w:numFmt w:val="bullet"/>
      <w:lvlText w:val=""/>
      <w:lvlJc w:val="left"/>
      <w:pPr>
        <w:tabs>
          <w:tab w:val="num" w:pos="4320"/>
        </w:tabs>
        <w:ind w:left="4320" w:hanging="360"/>
      </w:pPr>
      <w:rPr>
        <w:rFonts w:ascii="Wingdings 3" w:hAnsi="Wingdings 3" w:hint="default"/>
      </w:rPr>
    </w:lvl>
    <w:lvl w:ilvl="6" w:tplc="F0D4B874" w:tentative="1">
      <w:start w:val="1"/>
      <w:numFmt w:val="bullet"/>
      <w:lvlText w:val=""/>
      <w:lvlJc w:val="left"/>
      <w:pPr>
        <w:tabs>
          <w:tab w:val="num" w:pos="5040"/>
        </w:tabs>
        <w:ind w:left="5040" w:hanging="360"/>
      </w:pPr>
      <w:rPr>
        <w:rFonts w:ascii="Wingdings 3" w:hAnsi="Wingdings 3" w:hint="default"/>
      </w:rPr>
    </w:lvl>
    <w:lvl w:ilvl="7" w:tplc="F18E853E" w:tentative="1">
      <w:start w:val="1"/>
      <w:numFmt w:val="bullet"/>
      <w:lvlText w:val=""/>
      <w:lvlJc w:val="left"/>
      <w:pPr>
        <w:tabs>
          <w:tab w:val="num" w:pos="5760"/>
        </w:tabs>
        <w:ind w:left="5760" w:hanging="360"/>
      </w:pPr>
      <w:rPr>
        <w:rFonts w:ascii="Wingdings 3" w:hAnsi="Wingdings 3" w:hint="default"/>
      </w:rPr>
    </w:lvl>
    <w:lvl w:ilvl="8" w:tplc="2C423D4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6C2E6250"/>
    <w:multiLevelType w:val="hybridMultilevel"/>
    <w:tmpl w:val="697083D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72756C7"/>
    <w:multiLevelType w:val="hybridMultilevel"/>
    <w:tmpl w:val="C01EE6B0"/>
    <w:lvl w:ilvl="0" w:tplc="9700482C">
      <w:start w:val="1"/>
      <w:numFmt w:val="bullet"/>
      <w:lvlText w:val=""/>
      <w:lvlJc w:val="left"/>
      <w:pPr>
        <w:tabs>
          <w:tab w:val="num" w:pos="720"/>
        </w:tabs>
        <w:ind w:left="720" w:hanging="360"/>
      </w:pPr>
      <w:rPr>
        <w:rFonts w:ascii="Wingdings 3" w:hAnsi="Wingdings 3" w:hint="default"/>
      </w:rPr>
    </w:lvl>
    <w:lvl w:ilvl="1" w:tplc="378A0D38">
      <w:numFmt w:val="bullet"/>
      <w:lvlText w:val=""/>
      <w:lvlJc w:val="left"/>
      <w:pPr>
        <w:tabs>
          <w:tab w:val="num" w:pos="1440"/>
        </w:tabs>
        <w:ind w:left="1440" w:hanging="360"/>
      </w:pPr>
      <w:rPr>
        <w:rFonts w:ascii="Wingdings 3" w:hAnsi="Wingdings 3" w:hint="default"/>
      </w:rPr>
    </w:lvl>
    <w:lvl w:ilvl="2" w:tplc="91F013B8" w:tentative="1">
      <w:start w:val="1"/>
      <w:numFmt w:val="bullet"/>
      <w:lvlText w:val=""/>
      <w:lvlJc w:val="left"/>
      <w:pPr>
        <w:tabs>
          <w:tab w:val="num" w:pos="2160"/>
        </w:tabs>
        <w:ind w:left="2160" w:hanging="360"/>
      </w:pPr>
      <w:rPr>
        <w:rFonts w:ascii="Wingdings 3" w:hAnsi="Wingdings 3" w:hint="default"/>
      </w:rPr>
    </w:lvl>
    <w:lvl w:ilvl="3" w:tplc="D32E3714" w:tentative="1">
      <w:start w:val="1"/>
      <w:numFmt w:val="bullet"/>
      <w:lvlText w:val=""/>
      <w:lvlJc w:val="left"/>
      <w:pPr>
        <w:tabs>
          <w:tab w:val="num" w:pos="2880"/>
        </w:tabs>
        <w:ind w:left="2880" w:hanging="360"/>
      </w:pPr>
      <w:rPr>
        <w:rFonts w:ascii="Wingdings 3" w:hAnsi="Wingdings 3" w:hint="default"/>
      </w:rPr>
    </w:lvl>
    <w:lvl w:ilvl="4" w:tplc="726ADDB2" w:tentative="1">
      <w:start w:val="1"/>
      <w:numFmt w:val="bullet"/>
      <w:lvlText w:val=""/>
      <w:lvlJc w:val="left"/>
      <w:pPr>
        <w:tabs>
          <w:tab w:val="num" w:pos="3600"/>
        </w:tabs>
        <w:ind w:left="3600" w:hanging="360"/>
      </w:pPr>
      <w:rPr>
        <w:rFonts w:ascii="Wingdings 3" w:hAnsi="Wingdings 3" w:hint="default"/>
      </w:rPr>
    </w:lvl>
    <w:lvl w:ilvl="5" w:tplc="6ED8C224" w:tentative="1">
      <w:start w:val="1"/>
      <w:numFmt w:val="bullet"/>
      <w:lvlText w:val=""/>
      <w:lvlJc w:val="left"/>
      <w:pPr>
        <w:tabs>
          <w:tab w:val="num" w:pos="4320"/>
        </w:tabs>
        <w:ind w:left="4320" w:hanging="360"/>
      </w:pPr>
      <w:rPr>
        <w:rFonts w:ascii="Wingdings 3" w:hAnsi="Wingdings 3" w:hint="default"/>
      </w:rPr>
    </w:lvl>
    <w:lvl w:ilvl="6" w:tplc="8F58C166" w:tentative="1">
      <w:start w:val="1"/>
      <w:numFmt w:val="bullet"/>
      <w:lvlText w:val=""/>
      <w:lvlJc w:val="left"/>
      <w:pPr>
        <w:tabs>
          <w:tab w:val="num" w:pos="5040"/>
        </w:tabs>
        <w:ind w:left="5040" w:hanging="360"/>
      </w:pPr>
      <w:rPr>
        <w:rFonts w:ascii="Wingdings 3" w:hAnsi="Wingdings 3" w:hint="default"/>
      </w:rPr>
    </w:lvl>
    <w:lvl w:ilvl="7" w:tplc="E9086974" w:tentative="1">
      <w:start w:val="1"/>
      <w:numFmt w:val="bullet"/>
      <w:lvlText w:val=""/>
      <w:lvlJc w:val="left"/>
      <w:pPr>
        <w:tabs>
          <w:tab w:val="num" w:pos="5760"/>
        </w:tabs>
        <w:ind w:left="5760" w:hanging="360"/>
      </w:pPr>
      <w:rPr>
        <w:rFonts w:ascii="Wingdings 3" w:hAnsi="Wingdings 3" w:hint="default"/>
      </w:rPr>
    </w:lvl>
    <w:lvl w:ilvl="8" w:tplc="EE167D82"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2A5"/>
    <w:rsid w:val="0000192E"/>
    <w:rsid w:val="0000269F"/>
    <w:rsid w:val="0001148E"/>
    <w:rsid w:val="00011C5A"/>
    <w:rsid w:val="000168F9"/>
    <w:rsid w:val="00021535"/>
    <w:rsid w:val="000261F7"/>
    <w:rsid w:val="00031AC9"/>
    <w:rsid w:val="00032AC0"/>
    <w:rsid w:val="00032FDA"/>
    <w:rsid w:val="00044ADA"/>
    <w:rsid w:val="00056956"/>
    <w:rsid w:val="00061B3E"/>
    <w:rsid w:val="00064A30"/>
    <w:rsid w:val="0007141C"/>
    <w:rsid w:val="000767DF"/>
    <w:rsid w:val="00085D3C"/>
    <w:rsid w:val="000A447F"/>
    <w:rsid w:val="000B01DE"/>
    <w:rsid w:val="000B0428"/>
    <w:rsid w:val="000B0BD0"/>
    <w:rsid w:val="000B4C90"/>
    <w:rsid w:val="000B604F"/>
    <w:rsid w:val="000B7F4C"/>
    <w:rsid w:val="000C30A0"/>
    <w:rsid w:val="000C3CB5"/>
    <w:rsid w:val="000D1482"/>
    <w:rsid w:val="000D6509"/>
    <w:rsid w:val="000E14EA"/>
    <w:rsid w:val="000E2364"/>
    <w:rsid w:val="000E36D3"/>
    <w:rsid w:val="000E39FC"/>
    <w:rsid w:val="000E54F9"/>
    <w:rsid w:val="000E5970"/>
    <w:rsid w:val="000F70E6"/>
    <w:rsid w:val="00100994"/>
    <w:rsid w:val="00106FDF"/>
    <w:rsid w:val="00107704"/>
    <w:rsid w:val="001129C2"/>
    <w:rsid w:val="00114F37"/>
    <w:rsid w:val="001225CA"/>
    <w:rsid w:val="001240BF"/>
    <w:rsid w:val="0013097A"/>
    <w:rsid w:val="001314C8"/>
    <w:rsid w:val="0013197F"/>
    <w:rsid w:val="00135A42"/>
    <w:rsid w:val="00135BC0"/>
    <w:rsid w:val="00141F82"/>
    <w:rsid w:val="00143A18"/>
    <w:rsid w:val="00150619"/>
    <w:rsid w:val="00153D30"/>
    <w:rsid w:val="001554B5"/>
    <w:rsid w:val="00156710"/>
    <w:rsid w:val="00157A24"/>
    <w:rsid w:val="001603F8"/>
    <w:rsid w:val="001604D5"/>
    <w:rsid w:val="0016101E"/>
    <w:rsid w:val="00161617"/>
    <w:rsid w:val="00164328"/>
    <w:rsid w:val="001677D1"/>
    <w:rsid w:val="001703D4"/>
    <w:rsid w:val="00170ADE"/>
    <w:rsid w:val="00172226"/>
    <w:rsid w:val="0017285F"/>
    <w:rsid w:val="00173389"/>
    <w:rsid w:val="00173708"/>
    <w:rsid w:val="001870E1"/>
    <w:rsid w:val="0018794B"/>
    <w:rsid w:val="001906EA"/>
    <w:rsid w:val="00190E89"/>
    <w:rsid w:val="00196F62"/>
    <w:rsid w:val="001971ED"/>
    <w:rsid w:val="00197CF7"/>
    <w:rsid w:val="001A0D50"/>
    <w:rsid w:val="001A1B5E"/>
    <w:rsid w:val="001A1FF1"/>
    <w:rsid w:val="001A2125"/>
    <w:rsid w:val="001A2EE2"/>
    <w:rsid w:val="001A5DAA"/>
    <w:rsid w:val="001A786F"/>
    <w:rsid w:val="001B1ECA"/>
    <w:rsid w:val="001B36D2"/>
    <w:rsid w:val="001B663C"/>
    <w:rsid w:val="001B6C07"/>
    <w:rsid w:val="001C12A0"/>
    <w:rsid w:val="001C409A"/>
    <w:rsid w:val="001D4920"/>
    <w:rsid w:val="001D6494"/>
    <w:rsid w:val="001E1764"/>
    <w:rsid w:val="001E489F"/>
    <w:rsid w:val="001E7649"/>
    <w:rsid w:val="001F2D6A"/>
    <w:rsid w:val="001F7B93"/>
    <w:rsid w:val="00200EAB"/>
    <w:rsid w:val="00202473"/>
    <w:rsid w:val="00203137"/>
    <w:rsid w:val="00203866"/>
    <w:rsid w:val="002144FA"/>
    <w:rsid w:val="00216E9B"/>
    <w:rsid w:val="00217905"/>
    <w:rsid w:val="002332A5"/>
    <w:rsid w:val="00236AAF"/>
    <w:rsid w:val="00242456"/>
    <w:rsid w:val="002442E1"/>
    <w:rsid w:val="00244573"/>
    <w:rsid w:val="00247B2D"/>
    <w:rsid w:val="002532AD"/>
    <w:rsid w:val="00253977"/>
    <w:rsid w:val="002553CC"/>
    <w:rsid w:val="00260042"/>
    <w:rsid w:val="00260990"/>
    <w:rsid w:val="00265559"/>
    <w:rsid w:val="002658BD"/>
    <w:rsid w:val="00267643"/>
    <w:rsid w:val="0027295C"/>
    <w:rsid w:val="002765FE"/>
    <w:rsid w:val="0028101C"/>
    <w:rsid w:val="00283997"/>
    <w:rsid w:val="00285C81"/>
    <w:rsid w:val="002865FC"/>
    <w:rsid w:val="00287CE8"/>
    <w:rsid w:val="00287E70"/>
    <w:rsid w:val="002932E7"/>
    <w:rsid w:val="002A40CE"/>
    <w:rsid w:val="002B0FCA"/>
    <w:rsid w:val="002B2E53"/>
    <w:rsid w:val="002B45B3"/>
    <w:rsid w:val="002C033C"/>
    <w:rsid w:val="002C3269"/>
    <w:rsid w:val="002C4F7E"/>
    <w:rsid w:val="002C5CCA"/>
    <w:rsid w:val="002D01C2"/>
    <w:rsid w:val="002D2013"/>
    <w:rsid w:val="002D2F0C"/>
    <w:rsid w:val="002D36F2"/>
    <w:rsid w:val="002D5EDE"/>
    <w:rsid w:val="002D62CA"/>
    <w:rsid w:val="002E177E"/>
    <w:rsid w:val="002E40E4"/>
    <w:rsid w:val="002E5B1D"/>
    <w:rsid w:val="002E629B"/>
    <w:rsid w:val="002E6B90"/>
    <w:rsid w:val="002E7905"/>
    <w:rsid w:val="002E7977"/>
    <w:rsid w:val="002E7DFD"/>
    <w:rsid w:val="002F1100"/>
    <w:rsid w:val="002F275D"/>
    <w:rsid w:val="002F457A"/>
    <w:rsid w:val="002F7871"/>
    <w:rsid w:val="00302532"/>
    <w:rsid w:val="00302C2C"/>
    <w:rsid w:val="00304F90"/>
    <w:rsid w:val="00312672"/>
    <w:rsid w:val="0031349E"/>
    <w:rsid w:val="0031528C"/>
    <w:rsid w:val="00316F3D"/>
    <w:rsid w:val="00321914"/>
    <w:rsid w:val="00322754"/>
    <w:rsid w:val="00330668"/>
    <w:rsid w:val="0033556E"/>
    <w:rsid w:val="00341374"/>
    <w:rsid w:val="00341D08"/>
    <w:rsid w:val="00345953"/>
    <w:rsid w:val="00346467"/>
    <w:rsid w:val="0035097D"/>
    <w:rsid w:val="00352A54"/>
    <w:rsid w:val="00356FBC"/>
    <w:rsid w:val="003600A7"/>
    <w:rsid w:val="00360DA8"/>
    <w:rsid w:val="00365F0A"/>
    <w:rsid w:val="00366E0D"/>
    <w:rsid w:val="00370F77"/>
    <w:rsid w:val="00371043"/>
    <w:rsid w:val="00371747"/>
    <w:rsid w:val="003717C0"/>
    <w:rsid w:val="003758EA"/>
    <w:rsid w:val="0037724D"/>
    <w:rsid w:val="003807B8"/>
    <w:rsid w:val="00380B01"/>
    <w:rsid w:val="003851BA"/>
    <w:rsid w:val="00387CCA"/>
    <w:rsid w:val="00392A45"/>
    <w:rsid w:val="003940DA"/>
    <w:rsid w:val="00395A1B"/>
    <w:rsid w:val="003A3E96"/>
    <w:rsid w:val="003A59C4"/>
    <w:rsid w:val="003A6285"/>
    <w:rsid w:val="003A6524"/>
    <w:rsid w:val="003B2600"/>
    <w:rsid w:val="003B5F99"/>
    <w:rsid w:val="003B78F6"/>
    <w:rsid w:val="003C0DAD"/>
    <w:rsid w:val="003C174B"/>
    <w:rsid w:val="003C25A6"/>
    <w:rsid w:val="003C4CED"/>
    <w:rsid w:val="003C589A"/>
    <w:rsid w:val="003D1797"/>
    <w:rsid w:val="003D1AD8"/>
    <w:rsid w:val="003D1F01"/>
    <w:rsid w:val="003D5041"/>
    <w:rsid w:val="003E0BF2"/>
    <w:rsid w:val="003E13B4"/>
    <w:rsid w:val="003E1EE2"/>
    <w:rsid w:val="003E3A6A"/>
    <w:rsid w:val="003E5911"/>
    <w:rsid w:val="003E78F6"/>
    <w:rsid w:val="003E7D2A"/>
    <w:rsid w:val="003F2137"/>
    <w:rsid w:val="003F655D"/>
    <w:rsid w:val="00402E67"/>
    <w:rsid w:val="00403650"/>
    <w:rsid w:val="00404BFE"/>
    <w:rsid w:val="00405DBB"/>
    <w:rsid w:val="0041528F"/>
    <w:rsid w:val="0041682A"/>
    <w:rsid w:val="00420A15"/>
    <w:rsid w:val="00421EC9"/>
    <w:rsid w:val="0042235C"/>
    <w:rsid w:val="00423246"/>
    <w:rsid w:val="0042327E"/>
    <w:rsid w:val="00424E86"/>
    <w:rsid w:val="00427CE9"/>
    <w:rsid w:val="00431563"/>
    <w:rsid w:val="00433E88"/>
    <w:rsid w:val="00435915"/>
    <w:rsid w:val="004409EA"/>
    <w:rsid w:val="00440BEA"/>
    <w:rsid w:val="004437D4"/>
    <w:rsid w:val="00444677"/>
    <w:rsid w:val="00460C04"/>
    <w:rsid w:val="00462DD7"/>
    <w:rsid w:val="00464674"/>
    <w:rsid w:val="00464CB2"/>
    <w:rsid w:val="00467C0F"/>
    <w:rsid w:val="004705D7"/>
    <w:rsid w:val="00472436"/>
    <w:rsid w:val="004726DE"/>
    <w:rsid w:val="00473CFF"/>
    <w:rsid w:val="004762B6"/>
    <w:rsid w:val="00477CD9"/>
    <w:rsid w:val="0048064E"/>
    <w:rsid w:val="00481043"/>
    <w:rsid w:val="00485E55"/>
    <w:rsid w:val="004868FC"/>
    <w:rsid w:val="00486FD5"/>
    <w:rsid w:val="00492BC7"/>
    <w:rsid w:val="004A3D40"/>
    <w:rsid w:val="004A6123"/>
    <w:rsid w:val="004B0125"/>
    <w:rsid w:val="004B4074"/>
    <w:rsid w:val="004C0BE7"/>
    <w:rsid w:val="004C1D57"/>
    <w:rsid w:val="004C4940"/>
    <w:rsid w:val="004C6D01"/>
    <w:rsid w:val="004D3141"/>
    <w:rsid w:val="004D328C"/>
    <w:rsid w:val="004D5326"/>
    <w:rsid w:val="004D6FE0"/>
    <w:rsid w:val="004D7836"/>
    <w:rsid w:val="004E6755"/>
    <w:rsid w:val="004F034F"/>
    <w:rsid w:val="004F3D0D"/>
    <w:rsid w:val="004F3EA4"/>
    <w:rsid w:val="004F508D"/>
    <w:rsid w:val="0050194F"/>
    <w:rsid w:val="00512CBD"/>
    <w:rsid w:val="00513C6C"/>
    <w:rsid w:val="0051563E"/>
    <w:rsid w:val="00517D11"/>
    <w:rsid w:val="00521CBE"/>
    <w:rsid w:val="00527C2F"/>
    <w:rsid w:val="00527E98"/>
    <w:rsid w:val="005310C6"/>
    <w:rsid w:val="00534BD6"/>
    <w:rsid w:val="005352BB"/>
    <w:rsid w:val="0053636B"/>
    <w:rsid w:val="005464AF"/>
    <w:rsid w:val="00547CA8"/>
    <w:rsid w:val="005569B3"/>
    <w:rsid w:val="00556CBA"/>
    <w:rsid w:val="00562A8A"/>
    <w:rsid w:val="00571A6E"/>
    <w:rsid w:val="00573C6B"/>
    <w:rsid w:val="0057438B"/>
    <w:rsid w:val="00574DD2"/>
    <w:rsid w:val="00576F25"/>
    <w:rsid w:val="0058113F"/>
    <w:rsid w:val="00582392"/>
    <w:rsid w:val="0058528C"/>
    <w:rsid w:val="00585D1F"/>
    <w:rsid w:val="0059330D"/>
    <w:rsid w:val="00597AE1"/>
    <w:rsid w:val="00597C50"/>
    <w:rsid w:val="005A1173"/>
    <w:rsid w:val="005B2C9D"/>
    <w:rsid w:val="005C0B4E"/>
    <w:rsid w:val="005C534D"/>
    <w:rsid w:val="005C5DB9"/>
    <w:rsid w:val="005C7DF4"/>
    <w:rsid w:val="005D0D02"/>
    <w:rsid w:val="005D1D28"/>
    <w:rsid w:val="005D332E"/>
    <w:rsid w:val="005D6565"/>
    <w:rsid w:val="005E168D"/>
    <w:rsid w:val="005E19EA"/>
    <w:rsid w:val="005F0518"/>
    <w:rsid w:val="005F16FF"/>
    <w:rsid w:val="005F38A2"/>
    <w:rsid w:val="005F4BA2"/>
    <w:rsid w:val="005F6217"/>
    <w:rsid w:val="005F72E4"/>
    <w:rsid w:val="00600A3D"/>
    <w:rsid w:val="00604190"/>
    <w:rsid w:val="0061218E"/>
    <w:rsid w:val="00612E2D"/>
    <w:rsid w:val="006176F6"/>
    <w:rsid w:val="00622A39"/>
    <w:rsid w:val="0063690F"/>
    <w:rsid w:val="00640DB6"/>
    <w:rsid w:val="00641AE0"/>
    <w:rsid w:val="00641E54"/>
    <w:rsid w:val="0064298E"/>
    <w:rsid w:val="00644E59"/>
    <w:rsid w:val="006500C9"/>
    <w:rsid w:val="006543BD"/>
    <w:rsid w:val="00656240"/>
    <w:rsid w:val="006566AB"/>
    <w:rsid w:val="0065681D"/>
    <w:rsid w:val="006571A0"/>
    <w:rsid w:val="00657611"/>
    <w:rsid w:val="00660598"/>
    <w:rsid w:val="00660FC4"/>
    <w:rsid w:val="0066476B"/>
    <w:rsid w:val="00664D6F"/>
    <w:rsid w:val="0067029E"/>
    <w:rsid w:val="0067345E"/>
    <w:rsid w:val="006742E8"/>
    <w:rsid w:val="006759BF"/>
    <w:rsid w:val="00680748"/>
    <w:rsid w:val="00684FEA"/>
    <w:rsid w:val="0069034A"/>
    <w:rsid w:val="0069421C"/>
    <w:rsid w:val="00696328"/>
    <w:rsid w:val="006A19E8"/>
    <w:rsid w:val="006A2550"/>
    <w:rsid w:val="006B51A8"/>
    <w:rsid w:val="006B52E7"/>
    <w:rsid w:val="006C03E0"/>
    <w:rsid w:val="006C1B10"/>
    <w:rsid w:val="006D0436"/>
    <w:rsid w:val="006D4133"/>
    <w:rsid w:val="006D5D59"/>
    <w:rsid w:val="006E6D36"/>
    <w:rsid w:val="006F1549"/>
    <w:rsid w:val="006F54D8"/>
    <w:rsid w:val="006F6781"/>
    <w:rsid w:val="00700068"/>
    <w:rsid w:val="00703920"/>
    <w:rsid w:val="00704B21"/>
    <w:rsid w:val="0071197F"/>
    <w:rsid w:val="00713103"/>
    <w:rsid w:val="00713DD0"/>
    <w:rsid w:val="00715FA5"/>
    <w:rsid w:val="007253EC"/>
    <w:rsid w:val="007268D9"/>
    <w:rsid w:val="00727CF8"/>
    <w:rsid w:val="00735E46"/>
    <w:rsid w:val="007418AF"/>
    <w:rsid w:val="007501FD"/>
    <w:rsid w:val="00751B41"/>
    <w:rsid w:val="00751E6F"/>
    <w:rsid w:val="00754C0D"/>
    <w:rsid w:val="00756B32"/>
    <w:rsid w:val="0076140E"/>
    <w:rsid w:val="00766543"/>
    <w:rsid w:val="00772725"/>
    <w:rsid w:val="00772D36"/>
    <w:rsid w:val="00774E03"/>
    <w:rsid w:val="00784966"/>
    <w:rsid w:val="0079001C"/>
    <w:rsid w:val="00790598"/>
    <w:rsid w:val="00794350"/>
    <w:rsid w:val="007950DA"/>
    <w:rsid w:val="007974E2"/>
    <w:rsid w:val="00797EBF"/>
    <w:rsid w:val="007A0A3B"/>
    <w:rsid w:val="007B13E0"/>
    <w:rsid w:val="007B1B96"/>
    <w:rsid w:val="007C0291"/>
    <w:rsid w:val="007C2202"/>
    <w:rsid w:val="007C2377"/>
    <w:rsid w:val="007C2B55"/>
    <w:rsid w:val="007C357B"/>
    <w:rsid w:val="007D4D45"/>
    <w:rsid w:val="007D56BD"/>
    <w:rsid w:val="007D7991"/>
    <w:rsid w:val="007E0B1C"/>
    <w:rsid w:val="007E421D"/>
    <w:rsid w:val="007E445D"/>
    <w:rsid w:val="007E44AD"/>
    <w:rsid w:val="007E6C33"/>
    <w:rsid w:val="007F1DD0"/>
    <w:rsid w:val="007F21D0"/>
    <w:rsid w:val="00800046"/>
    <w:rsid w:val="00800C77"/>
    <w:rsid w:val="00801CC4"/>
    <w:rsid w:val="00802CD7"/>
    <w:rsid w:val="008052DE"/>
    <w:rsid w:val="00810885"/>
    <w:rsid w:val="00813E4F"/>
    <w:rsid w:val="00817E53"/>
    <w:rsid w:val="00820D72"/>
    <w:rsid w:val="0082129C"/>
    <w:rsid w:val="008220C9"/>
    <w:rsid w:val="008248DE"/>
    <w:rsid w:val="0083101C"/>
    <w:rsid w:val="0083566B"/>
    <w:rsid w:val="00843827"/>
    <w:rsid w:val="00844733"/>
    <w:rsid w:val="00847A02"/>
    <w:rsid w:val="008553E4"/>
    <w:rsid w:val="00856325"/>
    <w:rsid w:val="008578AB"/>
    <w:rsid w:val="0086014E"/>
    <w:rsid w:val="00861B15"/>
    <w:rsid w:val="00864A77"/>
    <w:rsid w:val="0086797A"/>
    <w:rsid w:val="008700AE"/>
    <w:rsid w:val="008718C6"/>
    <w:rsid w:val="0087251F"/>
    <w:rsid w:val="00876274"/>
    <w:rsid w:val="00891C68"/>
    <w:rsid w:val="00892339"/>
    <w:rsid w:val="008926AF"/>
    <w:rsid w:val="00892C26"/>
    <w:rsid w:val="00892D3D"/>
    <w:rsid w:val="0089487C"/>
    <w:rsid w:val="00895503"/>
    <w:rsid w:val="008A6E67"/>
    <w:rsid w:val="008A70A6"/>
    <w:rsid w:val="008B0B60"/>
    <w:rsid w:val="008B0C2F"/>
    <w:rsid w:val="008B13F0"/>
    <w:rsid w:val="008B4BF3"/>
    <w:rsid w:val="008B4D0A"/>
    <w:rsid w:val="008B53CD"/>
    <w:rsid w:val="008B676E"/>
    <w:rsid w:val="008C3EDB"/>
    <w:rsid w:val="008C6E03"/>
    <w:rsid w:val="008D196D"/>
    <w:rsid w:val="008D25AC"/>
    <w:rsid w:val="008E033B"/>
    <w:rsid w:val="008E4858"/>
    <w:rsid w:val="008E5C2D"/>
    <w:rsid w:val="008E78E5"/>
    <w:rsid w:val="008F1634"/>
    <w:rsid w:val="00903396"/>
    <w:rsid w:val="009039A1"/>
    <w:rsid w:val="00905A0F"/>
    <w:rsid w:val="009109E2"/>
    <w:rsid w:val="00917275"/>
    <w:rsid w:val="00922FBB"/>
    <w:rsid w:val="0092412E"/>
    <w:rsid w:val="00935328"/>
    <w:rsid w:val="009362A9"/>
    <w:rsid w:val="00940921"/>
    <w:rsid w:val="009455F3"/>
    <w:rsid w:val="009462AB"/>
    <w:rsid w:val="009476F1"/>
    <w:rsid w:val="00947E17"/>
    <w:rsid w:val="00950DA5"/>
    <w:rsid w:val="00957B33"/>
    <w:rsid w:val="00961005"/>
    <w:rsid w:val="00964B72"/>
    <w:rsid w:val="009656E8"/>
    <w:rsid w:val="00970CC6"/>
    <w:rsid w:val="00974B86"/>
    <w:rsid w:val="00976805"/>
    <w:rsid w:val="00981C5A"/>
    <w:rsid w:val="00986556"/>
    <w:rsid w:val="00992617"/>
    <w:rsid w:val="0099545B"/>
    <w:rsid w:val="00997178"/>
    <w:rsid w:val="009A4353"/>
    <w:rsid w:val="009A6812"/>
    <w:rsid w:val="009A6BF8"/>
    <w:rsid w:val="009A7E3A"/>
    <w:rsid w:val="009B3245"/>
    <w:rsid w:val="009B7D3D"/>
    <w:rsid w:val="009C0AA0"/>
    <w:rsid w:val="009C0AB1"/>
    <w:rsid w:val="009D1959"/>
    <w:rsid w:val="009D2CD5"/>
    <w:rsid w:val="009D5F32"/>
    <w:rsid w:val="009E2097"/>
    <w:rsid w:val="009E2D79"/>
    <w:rsid w:val="009E3C89"/>
    <w:rsid w:val="009E6DDD"/>
    <w:rsid w:val="009F18D0"/>
    <w:rsid w:val="009F1B9E"/>
    <w:rsid w:val="009F6B15"/>
    <w:rsid w:val="00A022CB"/>
    <w:rsid w:val="00A04CF3"/>
    <w:rsid w:val="00A0628D"/>
    <w:rsid w:val="00A066B5"/>
    <w:rsid w:val="00A07D5B"/>
    <w:rsid w:val="00A1182C"/>
    <w:rsid w:val="00A16922"/>
    <w:rsid w:val="00A21622"/>
    <w:rsid w:val="00A21996"/>
    <w:rsid w:val="00A23EC6"/>
    <w:rsid w:val="00A252DA"/>
    <w:rsid w:val="00A328D3"/>
    <w:rsid w:val="00A32C15"/>
    <w:rsid w:val="00A335E7"/>
    <w:rsid w:val="00A33638"/>
    <w:rsid w:val="00A33DD9"/>
    <w:rsid w:val="00A3481B"/>
    <w:rsid w:val="00A3651F"/>
    <w:rsid w:val="00A37C73"/>
    <w:rsid w:val="00A44206"/>
    <w:rsid w:val="00A52056"/>
    <w:rsid w:val="00A567F1"/>
    <w:rsid w:val="00A609FF"/>
    <w:rsid w:val="00A62DFD"/>
    <w:rsid w:val="00A63211"/>
    <w:rsid w:val="00A66F78"/>
    <w:rsid w:val="00A72E76"/>
    <w:rsid w:val="00A75656"/>
    <w:rsid w:val="00A77C97"/>
    <w:rsid w:val="00A80953"/>
    <w:rsid w:val="00A81146"/>
    <w:rsid w:val="00A83648"/>
    <w:rsid w:val="00A87861"/>
    <w:rsid w:val="00A910FB"/>
    <w:rsid w:val="00A91867"/>
    <w:rsid w:val="00A91B51"/>
    <w:rsid w:val="00A927E7"/>
    <w:rsid w:val="00A96A64"/>
    <w:rsid w:val="00AB2A15"/>
    <w:rsid w:val="00AB47E1"/>
    <w:rsid w:val="00AC0613"/>
    <w:rsid w:val="00AC10E7"/>
    <w:rsid w:val="00AC2521"/>
    <w:rsid w:val="00AC6863"/>
    <w:rsid w:val="00AC6DF4"/>
    <w:rsid w:val="00AD1252"/>
    <w:rsid w:val="00AD49D7"/>
    <w:rsid w:val="00AD4E99"/>
    <w:rsid w:val="00AD567A"/>
    <w:rsid w:val="00AD7305"/>
    <w:rsid w:val="00AE18ED"/>
    <w:rsid w:val="00AE2C9E"/>
    <w:rsid w:val="00AE3160"/>
    <w:rsid w:val="00AE4095"/>
    <w:rsid w:val="00AF0BBF"/>
    <w:rsid w:val="00AF0EA0"/>
    <w:rsid w:val="00AF42A8"/>
    <w:rsid w:val="00AF54F9"/>
    <w:rsid w:val="00B010F8"/>
    <w:rsid w:val="00B01176"/>
    <w:rsid w:val="00B01D18"/>
    <w:rsid w:val="00B05BB8"/>
    <w:rsid w:val="00B110E0"/>
    <w:rsid w:val="00B148ED"/>
    <w:rsid w:val="00B154B5"/>
    <w:rsid w:val="00B20E2A"/>
    <w:rsid w:val="00B262DE"/>
    <w:rsid w:val="00B30A4C"/>
    <w:rsid w:val="00B3476D"/>
    <w:rsid w:val="00B37598"/>
    <w:rsid w:val="00B37710"/>
    <w:rsid w:val="00B422E2"/>
    <w:rsid w:val="00B50D49"/>
    <w:rsid w:val="00B5160A"/>
    <w:rsid w:val="00B5162D"/>
    <w:rsid w:val="00B57B19"/>
    <w:rsid w:val="00B60DA7"/>
    <w:rsid w:val="00B62B48"/>
    <w:rsid w:val="00B62E67"/>
    <w:rsid w:val="00B7118B"/>
    <w:rsid w:val="00B76420"/>
    <w:rsid w:val="00B81CA0"/>
    <w:rsid w:val="00B829E6"/>
    <w:rsid w:val="00B92C5E"/>
    <w:rsid w:val="00BA017D"/>
    <w:rsid w:val="00BA0313"/>
    <w:rsid w:val="00BA3114"/>
    <w:rsid w:val="00BB1C46"/>
    <w:rsid w:val="00BB2EFC"/>
    <w:rsid w:val="00BB3773"/>
    <w:rsid w:val="00BB41DA"/>
    <w:rsid w:val="00BB4880"/>
    <w:rsid w:val="00BC2CE7"/>
    <w:rsid w:val="00BC5923"/>
    <w:rsid w:val="00BC5A2D"/>
    <w:rsid w:val="00BC7464"/>
    <w:rsid w:val="00BC7DAC"/>
    <w:rsid w:val="00BD0286"/>
    <w:rsid w:val="00BD2801"/>
    <w:rsid w:val="00BE04FB"/>
    <w:rsid w:val="00BE1114"/>
    <w:rsid w:val="00BE37B5"/>
    <w:rsid w:val="00BE62EE"/>
    <w:rsid w:val="00BF18A1"/>
    <w:rsid w:val="00BF2584"/>
    <w:rsid w:val="00BF2AE5"/>
    <w:rsid w:val="00BF41AF"/>
    <w:rsid w:val="00BF78B0"/>
    <w:rsid w:val="00C02CF7"/>
    <w:rsid w:val="00C03316"/>
    <w:rsid w:val="00C178B1"/>
    <w:rsid w:val="00C21B51"/>
    <w:rsid w:val="00C2636C"/>
    <w:rsid w:val="00C30130"/>
    <w:rsid w:val="00C31354"/>
    <w:rsid w:val="00C31E51"/>
    <w:rsid w:val="00C33A94"/>
    <w:rsid w:val="00C34217"/>
    <w:rsid w:val="00C3570E"/>
    <w:rsid w:val="00C40A12"/>
    <w:rsid w:val="00C40AD3"/>
    <w:rsid w:val="00C468BA"/>
    <w:rsid w:val="00C476B9"/>
    <w:rsid w:val="00C523FF"/>
    <w:rsid w:val="00C57667"/>
    <w:rsid w:val="00C640B7"/>
    <w:rsid w:val="00C649E3"/>
    <w:rsid w:val="00C73A8D"/>
    <w:rsid w:val="00C74C43"/>
    <w:rsid w:val="00C91D27"/>
    <w:rsid w:val="00C95C95"/>
    <w:rsid w:val="00CA3E99"/>
    <w:rsid w:val="00CA45C4"/>
    <w:rsid w:val="00CA55E5"/>
    <w:rsid w:val="00CB2238"/>
    <w:rsid w:val="00CB3F85"/>
    <w:rsid w:val="00CB54D7"/>
    <w:rsid w:val="00CC1884"/>
    <w:rsid w:val="00CC21AF"/>
    <w:rsid w:val="00CD2508"/>
    <w:rsid w:val="00CD797D"/>
    <w:rsid w:val="00CE074F"/>
    <w:rsid w:val="00CE1B5A"/>
    <w:rsid w:val="00CE1FF1"/>
    <w:rsid w:val="00CE2B3C"/>
    <w:rsid w:val="00CE661F"/>
    <w:rsid w:val="00CF1106"/>
    <w:rsid w:val="00CF61F8"/>
    <w:rsid w:val="00D14387"/>
    <w:rsid w:val="00D15B6D"/>
    <w:rsid w:val="00D16A0A"/>
    <w:rsid w:val="00D21B70"/>
    <w:rsid w:val="00D26EF4"/>
    <w:rsid w:val="00D33672"/>
    <w:rsid w:val="00D35103"/>
    <w:rsid w:val="00D37438"/>
    <w:rsid w:val="00D40869"/>
    <w:rsid w:val="00D41A51"/>
    <w:rsid w:val="00D453DD"/>
    <w:rsid w:val="00D54158"/>
    <w:rsid w:val="00D57241"/>
    <w:rsid w:val="00D62465"/>
    <w:rsid w:val="00D6411B"/>
    <w:rsid w:val="00D7193A"/>
    <w:rsid w:val="00D7337B"/>
    <w:rsid w:val="00D73835"/>
    <w:rsid w:val="00D741C7"/>
    <w:rsid w:val="00D80D55"/>
    <w:rsid w:val="00D81381"/>
    <w:rsid w:val="00D82BB0"/>
    <w:rsid w:val="00D84000"/>
    <w:rsid w:val="00D8637F"/>
    <w:rsid w:val="00D87180"/>
    <w:rsid w:val="00D9068C"/>
    <w:rsid w:val="00D908B2"/>
    <w:rsid w:val="00D9171B"/>
    <w:rsid w:val="00DA0422"/>
    <w:rsid w:val="00DA17F4"/>
    <w:rsid w:val="00DB236D"/>
    <w:rsid w:val="00DB6A5E"/>
    <w:rsid w:val="00DC680D"/>
    <w:rsid w:val="00DD016E"/>
    <w:rsid w:val="00DE0619"/>
    <w:rsid w:val="00DE07F5"/>
    <w:rsid w:val="00DE1E72"/>
    <w:rsid w:val="00DE57E5"/>
    <w:rsid w:val="00DE64F8"/>
    <w:rsid w:val="00DF03FB"/>
    <w:rsid w:val="00DF134E"/>
    <w:rsid w:val="00DF3E76"/>
    <w:rsid w:val="00DF582E"/>
    <w:rsid w:val="00DF668F"/>
    <w:rsid w:val="00E00160"/>
    <w:rsid w:val="00E003E5"/>
    <w:rsid w:val="00E0481C"/>
    <w:rsid w:val="00E04B28"/>
    <w:rsid w:val="00E11CD3"/>
    <w:rsid w:val="00E12A91"/>
    <w:rsid w:val="00E2044C"/>
    <w:rsid w:val="00E2052B"/>
    <w:rsid w:val="00E20713"/>
    <w:rsid w:val="00E20E04"/>
    <w:rsid w:val="00E244F6"/>
    <w:rsid w:val="00E247EE"/>
    <w:rsid w:val="00E25ADA"/>
    <w:rsid w:val="00E27761"/>
    <w:rsid w:val="00E27CCD"/>
    <w:rsid w:val="00E32CE1"/>
    <w:rsid w:val="00E37BFC"/>
    <w:rsid w:val="00E41C76"/>
    <w:rsid w:val="00E42D56"/>
    <w:rsid w:val="00E4395F"/>
    <w:rsid w:val="00E44A4A"/>
    <w:rsid w:val="00E4519E"/>
    <w:rsid w:val="00E5320B"/>
    <w:rsid w:val="00E53261"/>
    <w:rsid w:val="00E5326B"/>
    <w:rsid w:val="00E538D1"/>
    <w:rsid w:val="00E55593"/>
    <w:rsid w:val="00E64A52"/>
    <w:rsid w:val="00E72B89"/>
    <w:rsid w:val="00E738E2"/>
    <w:rsid w:val="00E769D6"/>
    <w:rsid w:val="00E82755"/>
    <w:rsid w:val="00E82B45"/>
    <w:rsid w:val="00E92D71"/>
    <w:rsid w:val="00E93ACD"/>
    <w:rsid w:val="00E93B05"/>
    <w:rsid w:val="00E968EB"/>
    <w:rsid w:val="00E96940"/>
    <w:rsid w:val="00EA182B"/>
    <w:rsid w:val="00EA60C7"/>
    <w:rsid w:val="00EA61CE"/>
    <w:rsid w:val="00EA732F"/>
    <w:rsid w:val="00EB1CA8"/>
    <w:rsid w:val="00EB4153"/>
    <w:rsid w:val="00EB5332"/>
    <w:rsid w:val="00EB7105"/>
    <w:rsid w:val="00EC0AA6"/>
    <w:rsid w:val="00EC1D7D"/>
    <w:rsid w:val="00EC34AE"/>
    <w:rsid w:val="00EE01F7"/>
    <w:rsid w:val="00EE1A35"/>
    <w:rsid w:val="00EE4008"/>
    <w:rsid w:val="00EF26FD"/>
    <w:rsid w:val="00EF2BC4"/>
    <w:rsid w:val="00EF3D0F"/>
    <w:rsid w:val="00F003ED"/>
    <w:rsid w:val="00F016E9"/>
    <w:rsid w:val="00F05175"/>
    <w:rsid w:val="00F06335"/>
    <w:rsid w:val="00F0736E"/>
    <w:rsid w:val="00F14BD4"/>
    <w:rsid w:val="00F1711D"/>
    <w:rsid w:val="00F213A8"/>
    <w:rsid w:val="00F30B8B"/>
    <w:rsid w:val="00F33C3D"/>
    <w:rsid w:val="00F342DE"/>
    <w:rsid w:val="00F35B60"/>
    <w:rsid w:val="00F35BB8"/>
    <w:rsid w:val="00F37591"/>
    <w:rsid w:val="00F376B1"/>
    <w:rsid w:val="00F47AE2"/>
    <w:rsid w:val="00F53525"/>
    <w:rsid w:val="00F55A0E"/>
    <w:rsid w:val="00F60F67"/>
    <w:rsid w:val="00F64854"/>
    <w:rsid w:val="00F748A1"/>
    <w:rsid w:val="00F773BA"/>
    <w:rsid w:val="00F77FBF"/>
    <w:rsid w:val="00F81E02"/>
    <w:rsid w:val="00F906F7"/>
    <w:rsid w:val="00F920A3"/>
    <w:rsid w:val="00F94DB6"/>
    <w:rsid w:val="00F95E82"/>
    <w:rsid w:val="00FA1F28"/>
    <w:rsid w:val="00FA414D"/>
    <w:rsid w:val="00FA59BA"/>
    <w:rsid w:val="00FA5CD3"/>
    <w:rsid w:val="00FB5E43"/>
    <w:rsid w:val="00FB7CBD"/>
    <w:rsid w:val="00FC15FF"/>
    <w:rsid w:val="00FC3323"/>
    <w:rsid w:val="00FC453E"/>
    <w:rsid w:val="00FC531E"/>
    <w:rsid w:val="00FC6A2B"/>
    <w:rsid w:val="00FC78A1"/>
    <w:rsid w:val="00FD0FDE"/>
    <w:rsid w:val="00FD28EF"/>
    <w:rsid w:val="00FD310F"/>
    <w:rsid w:val="00FD6E31"/>
    <w:rsid w:val="00FF20C2"/>
    <w:rsid w:val="00FF2131"/>
    <w:rsid w:val="00FF4700"/>
    <w:rsid w:val="00FF520D"/>
    <w:rsid w:val="00FF7F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49C8B6"/>
  <w15:chartTrackingRefBased/>
  <w15:docId w15:val="{91CBB4F1-0E87-47A5-BDDC-4E06405F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32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46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A3E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2A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935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328"/>
    <w:rPr>
      <w:rFonts w:ascii="Segoe UI" w:hAnsi="Segoe UI" w:cs="Segoe UI"/>
      <w:sz w:val="18"/>
      <w:szCs w:val="18"/>
    </w:rPr>
  </w:style>
  <w:style w:type="paragraph" w:styleId="FootnoteText">
    <w:name w:val="footnote text"/>
    <w:basedOn w:val="Normal"/>
    <w:link w:val="FootnoteTextChar"/>
    <w:uiPriority w:val="99"/>
    <w:semiHidden/>
    <w:unhideWhenUsed/>
    <w:rsid w:val="00B829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9E6"/>
    <w:rPr>
      <w:sz w:val="20"/>
      <w:szCs w:val="20"/>
    </w:rPr>
  </w:style>
  <w:style w:type="character" w:styleId="FootnoteReference">
    <w:name w:val="footnote reference"/>
    <w:basedOn w:val="DefaultParagraphFont"/>
    <w:uiPriority w:val="99"/>
    <w:semiHidden/>
    <w:unhideWhenUsed/>
    <w:rsid w:val="00B829E6"/>
    <w:rPr>
      <w:vertAlign w:val="superscript"/>
    </w:rPr>
  </w:style>
  <w:style w:type="character" w:styleId="CommentReference">
    <w:name w:val="annotation reference"/>
    <w:basedOn w:val="DefaultParagraphFont"/>
    <w:uiPriority w:val="99"/>
    <w:semiHidden/>
    <w:unhideWhenUsed/>
    <w:rsid w:val="00B829E6"/>
    <w:rPr>
      <w:sz w:val="16"/>
      <w:szCs w:val="16"/>
    </w:rPr>
  </w:style>
  <w:style w:type="paragraph" w:styleId="CommentText">
    <w:name w:val="annotation text"/>
    <w:basedOn w:val="Normal"/>
    <w:link w:val="CommentTextChar"/>
    <w:uiPriority w:val="99"/>
    <w:semiHidden/>
    <w:unhideWhenUsed/>
    <w:rsid w:val="00B829E6"/>
    <w:pPr>
      <w:spacing w:line="240" w:lineRule="auto"/>
    </w:pPr>
    <w:rPr>
      <w:sz w:val="20"/>
      <w:szCs w:val="20"/>
    </w:rPr>
  </w:style>
  <w:style w:type="character" w:customStyle="1" w:styleId="CommentTextChar">
    <w:name w:val="Comment Text Char"/>
    <w:basedOn w:val="DefaultParagraphFont"/>
    <w:link w:val="CommentText"/>
    <w:uiPriority w:val="99"/>
    <w:semiHidden/>
    <w:rsid w:val="00B829E6"/>
    <w:rPr>
      <w:sz w:val="20"/>
      <w:szCs w:val="20"/>
    </w:rPr>
  </w:style>
  <w:style w:type="character" w:customStyle="1" w:styleId="Heading2Char">
    <w:name w:val="Heading 2 Char"/>
    <w:basedOn w:val="DefaultParagraphFont"/>
    <w:link w:val="Heading2"/>
    <w:uiPriority w:val="9"/>
    <w:rsid w:val="0044467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56325"/>
    <w:rPr>
      <w:color w:val="0563C1" w:themeColor="hyperlink"/>
      <w:u w:val="single"/>
    </w:rPr>
  </w:style>
  <w:style w:type="character" w:styleId="UnresolvedMention">
    <w:name w:val="Unresolved Mention"/>
    <w:basedOn w:val="DefaultParagraphFont"/>
    <w:uiPriority w:val="99"/>
    <w:semiHidden/>
    <w:unhideWhenUsed/>
    <w:rsid w:val="00856325"/>
    <w:rPr>
      <w:color w:val="605E5C"/>
      <w:shd w:val="clear" w:color="auto" w:fill="E1DFDD"/>
    </w:rPr>
  </w:style>
  <w:style w:type="paragraph" w:styleId="ListParagraph">
    <w:name w:val="List Paragraph"/>
    <w:basedOn w:val="Normal"/>
    <w:uiPriority w:val="34"/>
    <w:qFormat/>
    <w:rsid w:val="00A77C97"/>
    <w:pPr>
      <w:ind w:left="720"/>
      <w:contextualSpacing/>
    </w:pPr>
  </w:style>
  <w:style w:type="character" w:customStyle="1" w:styleId="Heading3Char">
    <w:name w:val="Heading 3 Char"/>
    <w:basedOn w:val="DefaultParagraphFont"/>
    <w:link w:val="Heading3"/>
    <w:uiPriority w:val="9"/>
    <w:rsid w:val="00CA3E9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2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60598"/>
    <w:pPr>
      <w:spacing w:after="200" w:line="240" w:lineRule="auto"/>
    </w:pPr>
    <w:rPr>
      <w:i/>
      <w:iCs/>
      <w:color w:val="44546A" w:themeColor="text2"/>
      <w:sz w:val="18"/>
      <w:szCs w:val="18"/>
    </w:rPr>
  </w:style>
  <w:style w:type="paragraph" w:styleId="Header">
    <w:name w:val="header"/>
    <w:basedOn w:val="Normal"/>
    <w:link w:val="HeaderChar"/>
    <w:uiPriority w:val="99"/>
    <w:unhideWhenUsed/>
    <w:rsid w:val="00F81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02"/>
  </w:style>
  <w:style w:type="paragraph" w:styleId="Footer">
    <w:name w:val="footer"/>
    <w:basedOn w:val="Normal"/>
    <w:link w:val="FooterChar"/>
    <w:uiPriority w:val="99"/>
    <w:unhideWhenUsed/>
    <w:rsid w:val="00F81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02"/>
  </w:style>
  <w:style w:type="paragraph" w:styleId="Title">
    <w:name w:val="Title"/>
    <w:basedOn w:val="Normal"/>
    <w:next w:val="Normal"/>
    <w:link w:val="TitleChar"/>
    <w:uiPriority w:val="10"/>
    <w:qFormat/>
    <w:rsid w:val="004762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62B6"/>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0C30A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blemgambling.sa.gov.au/__data/assets/pdf_file/0017/80126/2018-SA-Gambling-Prevalence-Survey-Final-Report-Updated-07.02.19.pdf"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oi.org/10.1007/s10899-019-09890-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86/s12889-020-09813-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Health problems</c:v>
                </c:pt>
              </c:strCache>
            </c:strRef>
          </c:tx>
          <c:spPr>
            <a:solidFill>
              <a:schemeClr val="accent1"/>
            </a:solidFill>
            <a:ln>
              <a:noFill/>
            </a:ln>
            <a:effectLst/>
          </c:spPr>
          <c:invertIfNegative val="0"/>
          <c:cat>
            <c:strRef>
              <c:f>Sheet1!$A$2:$A$5</c:f>
              <c:strCache>
                <c:ptCount val="4"/>
                <c:pt idx="0">
                  <c:v>Young men</c:v>
                </c:pt>
                <c:pt idx="1">
                  <c:v>Young women</c:v>
                </c:pt>
                <c:pt idx="2">
                  <c:v>Older men</c:v>
                </c:pt>
                <c:pt idx="3">
                  <c:v>Older women</c:v>
                </c:pt>
              </c:strCache>
            </c:strRef>
          </c:cat>
          <c:val>
            <c:numRef>
              <c:f>Sheet1!$B$2:$B$5</c:f>
              <c:numCache>
                <c:formatCode>0%</c:formatCode>
                <c:ptCount val="4"/>
                <c:pt idx="0">
                  <c:v>0.06</c:v>
                </c:pt>
                <c:pt idx="1">
                  <c:v>0.11</c:v>
                </c:pt>
                <c:pt idx="2">
                  <c:v>0.25</c:v>
                </c:pt>
                <c:pt idx="3">
                  <c:v>0.22</c:v>
                </c:pt>
              </c:numCache>
            </c:numRef>
          </c:val>
          <c:extLst>
            <c:ext xmlns:c16="http://schemas.microsoft.com/office/drawing/2014/chart" uri="{C3380CC4-5D6E-409C-BE32-E72D297353CC}">
              <c16:uniqueId val="{00000000-5452-4FF0-BC32-CC6472A16B01}"/>
            </c:ext>
          </c:extLst>
        </c:ser>
        <c:ser>
          <c:idx val="1"/>
          <c:order val="1"/>
          <c:tx>
            <c:strRef>
              <c:f>Sheet1!$C$1</c:f>
              <c:strCache>
                <c:ptCount val="1"/>
                <c:pt idx="0">
                  <c:v>Domestic issues</c:v>
                </c:pt>
              </c:strCache>
            </c:strRef>
          </c:tx>
          <c:spPr>
            <a:solidFill>
              <a:schemeClr val="accent2"/>
            </a:solidFill>
            <a:ln>
              <a:noFill/>
            </a:ln>
            <a:effectLst/>
          </c:spPr>
          <c:invertIfNegative val="0"/>
          <c:cat>
            <c:strRef>
              <c:f>Sheet1!$A$2:$A$5</c:f>
              <c:strCache>
                <c:ptCount val="4"/>
                <c:pt idx="0">
                  <c:v>Young men</c:v>
                </c:pt>
                <c:pt idx="1">
                  <c:v>Young women</c:v>
                </c:pt>
                <c:pt idx="2">
                  <c:v>Older men</c:v>
                </c:pt>
                <c:pt idx="3">
                  <c:v>Older women</c:v>
                </c:pt>
              </c:strCache>
            </c:strRef>
          </c:cat>
          <c:val>
            <c:numRef>
              <c:f>Sheet1!$C$2:$C$5</c:f>
              <c:numCache>
                <c:formatCode>0%</c:formatCode>
                <c:ptCount val="4"/>
                <c:pt idx="0">
                  <c:v>7.0000000000000007E-2</c:v>
                </c:pt>
                <c:pt idx="1">
                  <c:v>0.25</c:v>
                </c:pt>
                <c:pt idx="2">
                  <c:v>0.09</c:v>
                </c:pt>
                <c:pt idx="3">
                  <c:v>0.11</c:v>
                </c:pt>
              </c:numCache>
            </c:numRef>
          </c:val>
          <c:extLst>
            <c:ext xmlns:c16="http://schemas.microsoft.com/office/drawing/2014/chart" uri="{C3380CC4-5D6E-409C-BE32-E72D297353CC}">
              <c16:uniqueId val="{00000001-5452-4FF0-BC32-CC6472A16B01}"/>
            </c:ext>
          </c:extLst>
        </c:ser>
        <c:ser>
          <c:idx val="2"/>
          <c:order val="2"/>
          <c:tx>
            <c:strRef>
              <c:f>Sheet1!$D$1</c:f>
              <c:strCache>
                <c:ptCount val="1"/>
                <c:pt idx="0">
                  <c:v>Social isolation</c:v>
                </c:pt>
              </c:strCache>
            </c:strRef>
          </c:tx>
          <c:spPr>
            <a:solidFill>
              <a:schemeClr val="accent3"/>
            </a:solidFill>
            <a:ln>
              <a:noFill/>
            </a:ln>
            <a:effectLst/>
          </c:spPr>
          <c:invertIfNegative val="0"/>
          <c:cat>
            <c:strRef>
              <c:f>Sheet1!$A$2:$A$5</c:f>
              <c:strCache>
                <c:ptCount val="4"/>
                <c:pt idx="0">
                  <c:v>Young men</c:v>
                </c:pt>
                <c:pt idx="1">
                  <c:v>Young women</c:v>
                </c:pt>
                <c:pt idx="2">
                  <c:v>Older men</c:v>
                </c:pt>
                <c:pt idx="3">
                  <c:v>Older women</c:v>
                </c:pt>
              </c:strCache>
            </c:strRef>
          </c:cat>
          <c:val>
            <c:numRef>
              <c:f>Sheet1!$D$2:$D$5</c:f>
              <c:numCache>
                <c:formatCode>0%</c:formatCode>
                <c:ptCount val="4"/>
                <c:pt idx="0">
                  <c:v>0.16</c:v>
                </c:pt>
                <c:pt idx="1">
                  <c:v>0.28000000000000003</c:v>
                </c:pt>
                <c:pt idx="2">
                  <c:v>0.26</c:v>
                </c:pt>
                <c:pt idx="3">
                  <c:v>0.28000000000000003</c:v>
                </c:pt>
              </c:numCache>
            </c:numRef>
          </c:val>
          <c:extLst>
            <c:ext xmlns:c16="http://schemas.microsoft.com/office/drawing/2014/chart" uri="{C3380CC4-5D6E-409C-BE32-E72D297353CC}">
              <c16:uniqueId val="{00000002-5452-4FF0-BC32-CC6472A16B01}"/>
            </c:ext>
          </c:extLst>
        </c:ser>
        <c:ser>
          <c:idx val="3"/>
          <c:order val="3"/>
          <c:tx>
            <c:strRef>
              <c:f>Sheet1!$E$1</c:f>
              <c:strCache>
                <c:ptCount val="1"/>
              </c:strCache>
            </c:strRef>
          </c:tx>
          <c:spPr>
            <a:solidFill>
              <a:schemeClr val="accent4"/>
            </a:solidFill>
            <a:ln>
              <a:noFill/>
            </a:ln>
            <a:effectLst/>
          </c:spPr>
          <c:invertIfNegative val="0"/>
          <c:cat>
            <c:strRef>
              <c:f>Sheet1!$A$2:$A$5</c:f>
              <c:strCache>
                <c:ptCount val="4"/>
                <c:pt idx="0">
                  <c:v>Young men</c:v>
                </c:pt>
                <c:pt idx="1">
                  <c:v>Young women</c:v>
                </c:pt>
                <c:pt idx="2">
                  <c:v>Older men</c:v>
                </c:pt>
                <c:pt idx="3">
                  <c:v>Older women</c:v>
                </c:pt>
              </c:strCache>
            </c:strRef>
          </c:cat>
          <c:val>
            <c:numRef>
              <c:f>Sheet1!$E$2:$E$5</c:f>
            </c:numRef>
          </c:val>
          <c:extLst>
            <c:ext xmlns:c16="http://schemas.microsoft.com/office/drawing/2014/chart" uri="{C3380CC4-5D6E-409C-BE32-E72D297353CC}">
              <c16:uniqueId val="{00000005-5452-4FF0-BC32-CC6472A16B01}"/>
            </c:ext>
          </c:extLst>
        </c:ser>
        <c:ser>
          <c:idx val="4"/>
          <c:order val="4"/>
          <c:tx>
            <c:strRef>
              <c:f>Sheet1!$F$1</c:f>
              <c:strCache>
                <c:ptCount val="1"/>
                <c:pt idx="0">
                  <c:v>Offending</c:v>
                </c:pt>
              </c:strCache>
            </c:strRef>
          </c:tx>
          <c:spPr>
            <a:solidFill>
              <a:schemeClr val="accent5"/>
            </a:solidFill>
            <a:ln>
              <a:noFill/>
            </a:ln>
            <a:effectLst/>
          </c:spPr>
          <c:invertIfNegative val="0"/>
          <c:cat>
            <c:strRef>
              <c:f>Sheet1!$A$2:$A$5</c:f>
              <c:strCache>
                <c:ptCount val="4"/>
                <c:pt idx="0">
                  <c:v>Young men</c:v>
                </c:pt>
                <c:pt idx="1">
                  <c:v>Young women</c:v>
                </c:pt>
                <c:pt idx="2">
                  <c:v>Older men</c:v>
                </c:pt>
                <c:pt idx="3">
                  <c:v>Older women</c:v>
                </c:pt>
              </c:strCache>
            </c:strRef>
          </c:cat>
          <c:val>
            <c:numRef>
              <c:f>Sheet1!$F$2:$F$5</c:f>
              <c:numCache>
                <c:formatCode>0%</c:formatCode>
                <c:ptCount val="4"/>
                <c:pt idx="0">
                  <c:v>0.22</c:v>
                </c:pt>
                <c:pt idx="1">
                  <c:v>0.15</c:v>
                </c:pt>
                <c:pt idx="2">
                  <c:v>0.19</c:v>
                </c:pt>
                <c:pt idx="3">
                  <c:v>0.1</c:v>
                </c:pt>
              </c:numCache>
            </c:numRef>
          </c:val>
          <c:extLst>
            <c:ext xmlns:c16="http://schemas.microsoft.com/office/drawing/2014/chart" uri="{C3380CC4-5D6E-409C-BE32-E72D297353CC}">
              <c16:uniqueId val="{00000006-5452-4FF0-BC32-CC6472A16B01}"/>
            </c:ext>
          </c:extLst>
        </c:ser>
        <c:dLbls>
          <c:showLegendKey val="0"/>
          <c:showVal val="0"/>
          <c:showCatName val="0"/>
          <c:showSerName val="0"/>
          <c:showPercent val="0"/>
          <c:showBubbleSize val="0"/>
        </c:dLbls>
        <c:gapWidth val="219"/>
        <c:overlap val="-27"/>
        <c:axId val="389204048"/>
        <c:axId val="389205032"/>
      </c:barChart>
      <c:catAx>
        <c:axId val="38920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205032"/>
        <c:crosses val="autoZero"/>
        <c:auto val="1"/>
        <c:lblAlgn val="ctr"/>
        <c:lblOffset val="100"/>
        <c:noMultiLvlLbl val="0"/>
      </c:catAx>
      <c:valAx>
        <c:axId val="3892050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204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Help-seekers</c:v>
                </c:pt>
              </c:strCache>
            </c:strRef>
          </c:tx>
          <c:spPr>
            <a:solidFill>
              <a:schemeClr val="accent1"/>
            </a:solidFill>
            <a:ln>
              <a:noFill/>
            </a:ln>
            <a:effectLst/>
          </c:spPr>
          <c:invertIfNegative val="0"/>
          <c:cat>
            <c:strRef>
              <c:f>Sheet1!$A$2:$A$7</c:f>
              <c:strCache>
                <c:ptCount val="6"/>
                <c:pt idx="0">
                  <c:v>18-24</c:v>
                </c:pt>
                <c:pt idx="1">
                  <c:v>25-34</c:v>
                </c:pt>
                <c:pt idx="2">
                  <c:v>35-44</c:v>
                </c:pt>
                <c:pt idx="3">
                  <c:v>45-54</c:v>
                </c:pt>
                <c:pt idx="4">
                  <c:v>55-64</c:v>
                </c:pt>
                <c:pt idx="5">
                  <c:v>(65+)</c:v>
                </c:pt>
              </c:strCache>
            </c:strRef>
          </c:cat>
          <c:val>
            <c:numRef>
              <c:f>Sheet1!$B$2:$B$7</c:f>
              <c:numCache>
                <c:formatCode>0%</c:formatCode>
                <c:ptCount val="6"/>
                <c:pt idx="0">
                  <c:v>0.1</c:v>
                </c:pt>
                <c:pt idx="1">
                  <c:v>0.24</c:v>
                </c:pt>
                <c:pt idx="2">
                  <c:v>0.23</c:v>
                </c:pt>
                <c:pt idx="3">
                  <c:v>0.21</c:v>
                </c:pt>
                <c:pt idx="4">
                  <c:v>0.09</c:v>
                </c:pt>
                <c:pt idx="5">
                  <c:v>0.08</c:v>
                </c:pt>
              </c:numCache>
            </c:numRef>
          </c:val>
          <c:extLst>
            <c:ext xmlns:c16="http://schemas.microsoft.com/office/drawing/2014/chart" uri="{C3380CC4-5D6E-409C-BE32-E72D297353CC}">
              <c16:uniqueId val="{00000000-7C60-413E-966A-666FE1053B20}"/>
            </c:ext>
          </c:extLst>
        </c:ser>
        <c:ser>
          <c:idx val="1"/>
          <c:order val="1"/>
          <c:tx>
            <c:strRef>
              <c:f>Sheet1!$C$1</c:f>
              <c:strCache>
                <c:ptCount val="1"/>
                <c:pt idx="0">
                  <c:v>General population</c:v>
                </c:pt>
              </c:strCache>
            </c:strRef>
          </c:tx>
          <c:spPr>
            <a:solidFill>
              <a:schemeClr val="accent2"/>
            </a:solidFill>
            <a:ln>
              <a:noFill/>
            </a:ln>
            <a:effectLst/>
          </c:spPr>
          <c:invertIfNegative val="0"/>
          <c:cat>
            <c:strRef>
              <c:f>Sheet1!$A$2:$A$7</c:f>
              <c:strCache>
                <c:ptCount val="6"/>
                <c:pt idx="0">
                  <c:v>18-24</c:v>
                </c:pt>
                <c:pt idx="1">
                  <c:v>25-34</c:v>
                </c:pt>
                <c:pt idx="2">
                  <c:v>35-44</c:v>
                </c:pt>
                <c:pt idx="3">
                  <c:v>45-54</c:v>
                </c:pt>
                <c:pt idx="4">
                  <c:v>55-64</c:v>
                </c:pt>
                <c:pt idx="5">
                  <c:v>(65+)</c:v>
                </c:pt>
              </c:strCache>
            </c:strRef>
          </c:cat>
          <c:val>
            <c:numRef>
              <c:f>Sheet1!$C$2:$C$7</c:f>
              <c:numCache>
                <c:formatCode>0%</c:formatCode>
                <c:ptCount val="6"/>
                <c:pt idx="0">
                  <c:v>0.17</c:v>
                </c:pt>
                <c:pt idx="1">
                  <c:v>0.21</c:v>
                </c:pt>
                <c:pt idx="2">
                  <c:v>0.15</c:v>
                </c:pt>
                <c:pt idx="3">
                  <c:v>0.15</c:v>
                </c:pt>
                <c:pt idx="4">
                  <c:v>0.17</c:v>
                </c:pt>
                <c:pt idx="5">
                  <c:v>0.15</c:v>
                </c:pt>
              </c:numCache>
            </c:numRef>
          </c:val>
          <c:extLst>
            <c:ext xmlns:c16="http://schemas.microsoft.com/office/drawing/2014/chart" uri="{C3380CC4-5D6E-409C-BE32-E72D297353CC}">
              <c16:uniqueId val="{00000001-7C60-413E-966A-666FE1053B20}"/>
            </c:ext>
          </c:extLst>
        </c:ser>
        <c:dLbls>
          <c:showLegendKey val="0"/>
          <c:showVal val="0"/>
          <c:showCatName val="0"/>
          <c:showSerName val="0"/>
          <c:showPercent val="0"/>
          <c:showBubbleSize val="0"/>
        </c:dLbls>
        <c:gapWidth val="219"/>
        <c:overlap val="-27"/>
        <c:axId val="934380400"/>
        <c:axId val="934382368"/>
      </c:barChart>
      <c:catAx>
        <c:axId val="9343804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Age in years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4382368"/>
        <c:crosses val="autoZero"/>
        <c:auto val="1"/>
        <c:lblAlgn val="ctr"/>
        <c:lblOffset val="100"/>
        <c:noMultiLvlLbl val="0"/>
      </c:catAx>
      <c:valAx>
        <c:axId val="9343823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4380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71343BCD6D049598449C876307003E4" version="1.0.0">
  <systemFields>
    <field name="Objective-Id">
      <value order="0">A25792365</value>
    </field>
    <field name="Objective-Title">
      <value order="0">Attachment 2a - Final consultant reports - Paul Delfabbro</value>
    </field>
    <field name="Objective-Description">
      <value order="0"/>
    </field>
    <field name="Objective-CreationStamp">
      <value order="0">2021-08-17T05:12:33Z</value>
    </field>
    <field name="Objective-IsApproved">
      <value order="0">false</value>
    </field>
    <field name="Objective-IsPublished">
      <value order="0">true</value>
    </field>
    <field name="Objective-DatePublished">
      <value order="0">2021-08-23T06:45:40Z</value>
    </field>
    <field name="Objective-ModificationStamp">
      <value order="0">2021-10-25T04:56:08Z</value>
    </field>
    <field name="Objective-Owner">
      <value order="0">Graham, Kirsty - KIRGRA</value>
    </field>
    <field name="Objective-Path">
      <value order="0">Global Folder:Community Services Directorate:Community and Social Investment:**GOVERNANCE:BRIEFINGS / 21TDHS:2021:OFFICE FOR PROBLEM GAMBLING:21TDHS/943 -Ministers Briefing - seeking approval to release the Gambling Harm Minimisation Investment Plan 2021 to 2026</value>
    </field>
    <field name="Objective-Parent">
      <value order="0">21TDHS/943 -Ministers Briefing - seeking approval to release the Gambling Harm Minimisation Investment Plan 2021 to 2026</value>
    </field>
    <field name="Objective-State">
      <value order="0">Published</value>
    </field>
    <field name="Objective-VersionId">
      <value order="0">vA34159366</value>
    </field>
    <field name="Objective-Version">
      <value order="0">2.0</value>
    </field>
    <field name="Objective-VersionNumber">
      <value order="0">2</value>
    </field>
    <field name="Objective-VersionComment">
      <value order="0"/>
    </field>
    <field name="Objective-FileNumber">
      <value order="0"/>
    </field>
    <field name="Objective-Classification">
      <value order="0"/>
    </field>
    <field name="Objective-Caveats">
      <value order="0"/>
    </field>
  </systemFields>
  <catalogues>
    <catalogue name="Incoming Correspondence Type Catalogue" type="type" ori="id:cA100">
      <field name="Objective-Business Unit">
        <value order="0">DHS : Community Services Directorate</value>
      </field>
      <field name="Objective-Security Classification">
        <value order="0">OFFICIAL</value>
      </field>
      <field name="Objective-Document Type">
        <value order="0">Briefing</value>
      </field>
      <field name="Objective-Vital Record">
        <value order="0">No</value>
      </field>
      <field name="Objective-Vital Record Review Due Date">
        <value order="0"/>
      </field>
      <field name="Objective-Author Name">
        <value order="0"/>
      </field>
      <field name="Objective-Date of Correspondence">
        <value order="0"/>
      </field>
      <field name="Objective-Date Received">
        <value order="0"/>
      </field>
      <field name="Objective-Senders Reference">
        <value order="0"/>
      </field>
      <field name="Objective-E-Mail Address">
        <value order="0"/>
      </field>
      <field name="Objective-Telephone">
        <value order="0"/>
      </field>
      <field name="Objective-Address Line 1">
        <value order="0"/>
      </field>
      <field name="Objective-Address Line 2">
        <value order="0"/>
      </field>
      <field name="Objective-Suburb">
        <value order="0"/>
      </field>
      <field name="Objective-State">
        <value order="0"/>
      </field>
      <field name="Objective-Postcode">
        <value order="0"/>
      </field>
      <field name="Objective-Description - Abstract">
        <value order="0"/>
      </field>
      <field name="Objective-Action Officer">
        <value order="0"/>
      </field>
      <field name="Objective-Delegator">
        <value order="0"/>
      </field>
      <field name="Objective-Date Reply Due">
        <value order="0"/>
      </field>
      <field name="Objective-Date Reply Sent">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271343BCD6D049598449C876307003E4"/>
  </ds:schemaRefs>
</ds:datastoreItem>
</file>

<file path=customXml/itemProps2.xml><?xml version="1.0" encoding="utf-8"?>
<ds:datastoreItem xmlns:ds="http://schemas.openxmlformats.org/officeDocument/2006/customXml" ds:itemID="{35BDEF0D-6CE5-4669-9899-A310F28AF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2676</TotalTime>
  <Pages>9</Pages>
  <Words>3237</Words>
  <Characters>18454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Strub, Tanya (DHS)</dc:creator>
  <cp:keywords/>
  <dc:description/>
  <cp:lastModifiedBy>Malerba, Adam (DHS)</cp:lastModifiedBy>
  <cp:revision>785</cp:revision>
  <cp:lastPrinted>2021-04-06T00:32:00Z</cp:lastPrinted>
  <dcterms:created xsi:type="dcterms:W3CDTF">2021-01-13T22:41:00Z</dcterms:created>
  <dcterms:modified xsi:type="dcterms:W3CDTF">2021-11-19T07:22:00Z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A25792365</vt:lpwstr>
  </property>
  <property fmtid="{D5CDD505-2E9C-101B-9397-08002B2CF9AE}" pid="4" name="Objective-Title">
    <vt:lpwstr>Attachment 2a - Final consultant reports - Paul Delfabbro</vt:lpwstr>
  </property>
  <property fmtid="{D5CDD505-2E9C-101B-9397-08002B2CF9AE}" pid="5" name="Objective-Description">
    <vt:lpwstr/>
  </property>
  <property fmtid="{D5CDD505-2E9C-101B-9397-08002B2CF9AE}" pid="6" name="Objective-CreationStamp">
    <vt:filetime>2021-08-17T06:30:11Z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2021-08-23T06:45:40Z</vt:filetime>
  </property>
  <property fmtid="{D5CDD505-2E9C-101B-9397-08002B2CF9AE}" pid="10" name="Objective-ModificationStamp">
    <vt:filetime>2021-10-25T04:56:08Z</vt:filetime>
  </property>
  <property fmtid="{D5CDD505-2E9C-101B-9397-08002B2CF9AE}" pid="11" name="Objective-Owner">
    <vt:lpwstr>Graham, Kirsty - KIRGRA</vt:lpwstr>
  </property>
  <property fmtid="{D5CDD505-2E9C-101B-9397-08002B2CF9AE}" pid="12" name="Objective-Path">
    <vt:lpwstr>Global Folder:Community Services Directorate:Community and Social Investment:**GOVERNANCE:BRIEFINGS / 21TDHS:2021:OFFICE FOR PROBLEM GAMBLING:21TDHS/943 -Ministers Briefing - seeking approval to release the Gambling Harm Minimisation Investment Plan 2021 </vt:lpwstr>
  </property>
  <property fmtid="{D5CDD505-2E9C-101B-9397-08002B2CF9AE}" pid="13" name="Objective-Parent">
    <vt:lpwstr>21TDHS/943 -Ministers Briefing - seeking approval to release the Gambling Harm Minimisation Investment Plan 2021 to 2026</vt:lpwstr>
  </property>
  <property fmtid="{D5CDD505-2E9C-101B-9397-08002B2CF9AE}" pid="14" name="Objective-State">
    <vt:lpwstr/>
  </property>
  <property fmtid="{D5CDD505-2E9C-101B-9397-08002B2CF9AE}" pid="15" name="Objective-VersionId">
    <vt:lpwstr>vA34159366</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DHS:Community Services Directorate</vt:lpwstr>
  </property>
  <property fmtid="{D5CDD505-2E9C-101B-9397-08002B2CF9AE}" pid="23" name="Objective-Security Classification">
    <vt:lpwstr>OFFICIAL</vt:lpwstr>
  </property>
  <property fmtid="{D5CDD505-2E9C-101B-9397-08002B2CF9AE}" pid="24" name="Objective-Document Type">
    <vt:lpwstr>Briefing</vt:lpwstr>
  </property>
  <property fmtid="{D5CDD505-2E9C-101B-9397-08002B2CF9AE}" pid="25" name="Objective-Vital Record">
    <vt:lpwstr>No</vt:lpwstr>
  </property>
  <property fmtid="{D5CDD505-2E9C-101B-9397-08002B2CF9AE}" pid="26" name="Objective-Vital Record Review Due Date">
    <vt:lpwstr/>
  </property>
  <property fmtid="{D5CDD505-2E9C-101B-9397-08002B2CF9AE}" pid="27" name="Objective-Author Name">
    <vt:lpwstr/>
  </property>
  <property fmtid="{D5CDD505-2E9C-101B-9397-08002B2CF9AE}" pid="28" name="Objective-Date of Correspondence">
    <vt:lpwstr/>
  </property>
  <property fmtid="{D5CDD505-2E9C-101B-9397-08002B2CF9AE}" pid="29" name="Objective-Date Received">
    <vt:lpwstr/>
  </property>
  <property fmtid="{D5CDD505-2E9C-101B-9397-08002B2CF9AE}" pid="30" name="Objective-Senders Reference">
    <vt:lpwstr/>
  </property>
  <property fmtid="{D5CDD505-2E9C-101B-9397-08002B2CF9AE}" pid="31" name="Objective-E-Mail Address">
    <vt:lpwstr/>
  </property>
  <property fmtid="{D5CDD505-2E9C-101B-9397-08002B2CF9AE}" pid="32" name="Objective-Telephone">
    <vt:lpwstr/>
  </property>
  <property fmtid="{D5CDD505-2E9C-101B-9397-08002B2CF9AE}" pid="33" name="Objective-Address Line 1">
    <vt:lpwstr/>
  </property>
  <property fmtid="{D5CDD505-2E9C-101B-9397-08002B2CF9AE}" pid="34" name="Objective-Address Line 2">
    <vt:lpwstr/>
  </property>
  <property fmtid="{D5CDD505-2E9C-101B-9397-08002B2CF9AE}" pid="35" name="Objective-Suburb">
    <vt:lpwstr/>
  </property>
  <property fmtid="{D5CDD505-2E9C-101B-9397-08002B2CF9AE}" pid="36" name="Objective-Postcode">
    <vt:lpwstr/>
  </property>
  <property fmtid="{D5CDD505-2E9C-101B-9397-08002B2CF9AE}" pid="37" name="Objective-Description - Abstract">
    <vt:lpwstr/>
  </property>
  <property fmtid="{D5CDD505-2E9C-101B-9397-08002B2CF9AE}" pid="38" name="Objective-Action Officer">
    <vt:lpwstr/>
  </property>
  <property fmtid="{D5CDD505-2E9C-101B-9397-08002B2CF9AE}" pid="39" name="Objective-Delegator">
    <vt:lpwstr/>
  </property>
  <property fmtid="{D5CDD505-2E9C-101B-9397-08002B2CF9AE}" pid="40" name="Objective-Date Reply Due">
    <vt:lpwstr/>
  </property>
  <property fmtid="{D5CDD505-2E9C-101B-9397-08002B2CF9AE}" pid="41" name="Objective-Date Reply Sent">
    <vt:lpwstr/>
  </property>
  <property fmtid="{D5CDD505-2E9C-101B-9397-08002B2CF9AE}" pid="42" name="Objective-Connect Creator">
    <vt:lpwstr/>
  </property>
  <property fmtid="{D5CDD505-2E9C-101B-9397-08002B2CF9AE}" pid="43" name="Objective-Comment">
    <vt:lpwstr/>
  </property>
</Properties>
</file>